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EDF7" w14:textId="0B9A65D1" w:rsidR="00E84B52" w:rsidRPr="00EC5EDC" w:rsidRDefault="00E1582A" w:rsidP="00E1582A">
      <w:pPr>
        <w:spacing w:after="219" w:line="259" w:lineRule="auto"/>
        <w:ind w:left="0" w:right="168" w:firstLine="0"/>
        <w:jc w:val="center"/>
        <w:rPr>
          <w:rFonts w:ascii="Arial" w:hAnsi="Arial" w:cs="Arial"/>
          <w:b/>
          <w:bCs/>
          <w:sz w:val="32"/>
          <w:szCs w:val="32"/>
        </w:rPr>
      </w:pPr>
      <w:r w:rsidRPr="00EC5EDC">
        <w:rPr>
          <w:rFonts w:ascii="Arial" w:hAnsi="Arial" w:cs="Arial"/>
          <w:b/>
          <w:bCs/>
          <w:sz w:val="32"/>
          <w:szCs w:val="32"/>
          <w:u w:val="single" w:color="000000"/>
        </w:rPr>
        <w:t>ANNEX “B”</w:t>
      </w:r>
    </w:p>
    <w:p w14:paraId="43DE8559" w14:textId="05F6420A" w:rsidR="00E1582A" w:rsidRDefault="00EC5EDC">
      <w:pPr>
        <w:spacing w:after="2" w:line="257" w:lineRule="auto"/>
        <w:ind w:left="43" w:right="1824" w:hanging="10"/>
        <w:jc w:val="left"/>
        <w:rPr>
          <w:rFonts w:ascii="Arial" w:hAnsi="Arial" w:cs="Arial"/>
          <w:b/>
          <w:bCs/>
          <w:sz w:val="24"/>
        </w:rPr>
      </w:pPr>
      <w:r w:rsidRPr="00E1582A">
        <w:rPr>
          <w:rFonts w:ascii="Arial" w:hAnsi="Arial" w:cs="Arial"/>
          <w:b/>
          <w:bCs/>
          <w:sz w:val="24"/>
        </w:rPr>
        <w:t xml:space="preserve">Report on Actuarial Valuation of HMO Agreement Liabilities </w:t>
      </w:r>
    </w:p>
    <w:p w14:paraId="7B5B2552" w14:textId="23B7E0D0" w:rsidR="00E84B52" w:rsidRPr="00E1582A" w:rsidRDefault="00E1582A">
      <w:pPr>
        <w:spacing w:after="2" w:line="257" w:lineRule="auto"/>
        <w:ind w:left="43" w:right="1824" w:hanging="10"/>
        <w:jc w:val="left"/>
        <w:rPr>
          <w:rFonts w:ascii="Arial" w:hAnsi="Arial" w:cs="Arial"/>
          <w:b/>
          <w:bCs/>
          <w:sz w:val="24"/>
        </w:rPr>
      </w:pPr>
      <w:r w:rsidRPr="00E1582A">
        <w:rPr>
          <w:rFonts w:ascii="Arial" w:hAnsi="Arial" w:cs="Arial"/>
          <w:b/>
          <w:bCs/>
          <w:noProof/>
          <w:sz w:val="24"/>
        </w:rPr>
        <mc:AlternateContent>
          <mc:Choice Requires="wpg">
            <w:drawing>
              <wp:anchor distT="0" distB="0" distL="114300" distR="114300" simplePos="0" relativeHeight="251658240" behindDoc="0" locked="0" layoutInCell="1" allowOverlap="1" wp14:anchorId="5732E316" wp14:editId="0E48D204">
                <wp:simplePos x="0" y="0"/>
                <wp:positionH relativeFrom="column">
                  <wp:posOffset>1431925</wp:posOffset>
                </wp:positionH>
                <wp:positionV relativeFrom="paragraph">
                  <wp:posOffset>149530</wp:posOffset>
                </wp:positionV>
                <wp:extent cx="3566160" cy="15240"/>
                <wp:effectExtent l="0" t="0" r="15240" b="22860"/>
                <wp:wrapNone/>
                <wp:docPr id="11499" name="Group 11499"/>
                <wp:cNvGraphicFramePr/>
                <a:graphic xmlns:a="http://schemas.openxmlformats.org/drawingml/2006/main">
                  <a:graphicData uri="http://schemas.microsoft.com/office/word/2010/wordprocessingGroup">
                    <wpg:wgp>
                      <wpg:cNvGrpSpPr/>
                      <wpg:grpSpPr>
                        <a:xfrm>
                          <a:off x="0" y="0"/>
                          <a:ext cx="3566160" cy="15240"/>
                          <a:chOff x="0" y="0"/>
                          <a:chExt cx="3566160" cy="15245"/>
                        </a:xfrm>
                      </wpg:grpSpPr>
                      <wps:wsp>
                        <wps:cNvPr id="11498" name="Shape 11498"/>
                        <wps:cNvSpPr/>
                        <wps:spPr>
                          <a:xfrm>
                            <a:off x="0" y="0"/>
                            <a:ext cx="3566160" cy="15245"/>
                          </a:xfrm>
                          <a:custGeom>
                            <a:avLst/>
                            <a:gdLst/>
                            <a:ahLst/>
                            <a:cxnLst/>
                            <a:rect l="0" t="0" r="0" b="0"/>
                            <a:pathLst>
                              <a:path w="3566160" h="15245">
                                <a:moveTo>
                                  <a:pt x="0" y="7622"/>
                                </a:moveTo>
                                <a:lnTo>
                                  <a:pt x="356616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B006AD" id="Group 11499" o:spid="_x0000_s1026" style="position:absolute;margin-left:112.75pt;margin-top:11.75pt;width:280.8pt;height:1.2pt;z-index:251658240;mso-width-relative:margin;mso-height-relative:margin" coordsize="3566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">
                <v:shape id="Shape 11498" o:spid="_x0000_s1027" style="position:absolute;width:35661;height:152;visibility:visible;mso-wrap-style:square;v-text-anchor:top" coordsize="356616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" path="m,7622r3566160,e" filled="f" strokeweight=".42347mm">
                  <v:stroke miterlimit="1" joinstyle="miter"/>
                  <v:path arrowok="t" textboxrect="0,0,3566160,15245"/>
                </v:shape>
              </v:group>
            </w:pict>
          </mc:Fallback>
        </mc:AlternateContent>
      </w:r>
      <w:r w:rsidR="00EC5EDC" w:rsidRPr="00E1582A">
        <w:rPr>
          <w:rFonts w:ascii="Arial" w:hAnsi="Arial" w:cs="Arial"/>
          <w:b/>
          <w:bCs/>
          <w:sz w:val="24"/>
        </w:rPr>
        <w:t>Name of Company:</w:t>
      </w:r>
      <w:r w:rsidRPr="00E1582A">
        <w:rPr>
          <w:rFonts w:ascii="Arial" w:hAnsi="Arial" w:cs="Arial"/>
          <w:b/>
          <w:bCs/>
          <w:noProof/>
          <w:sz w:val="24"/>
        </w:rPr>
        <w:t xml:space="preserve"> </w:t>
      </w:r>
      <w:r w:rsidR="00EC5EDC" w:rsidRPr="00E1582A">
        <w:rPr>
          <w:rFonts w:ascii="Arial" w:hAnsi="Arial" w:cs="Arial"/>
          <w:b/>
          <w:bCs/>
          <w:sz w:val="24"/>
        </w:rPr>
        <w:t xml:space="preserve"> </w:t>
      </w:r>
    </w:p>
    <w:p w14:paraId="72B3C015" w14:textId="399BA93A" w:rsidR="00E84B52" w:rsidRPr="00E1582A" w:rsidRDefault="00EC5EDC">
      <w:pPr>
        <w:spacing w:after="256"/>
        <w:ind w:right="81"/>
        <w:rPr>
          <w:rFonts w:ascii="Arial" w:hAnsi="Arial" w:cs="Arial"/>
          <w:b/>
          <w:bCs/>
          <w:sz w:val="24"/>
        </w:rPr>
      </w:pPr>
      <w:r w:rsidRPr="00E1582A">
        <w:rPr>
          <w:rFonts w:ascii="Arial" w:hAnsi="Arial" w:cs="Arial"/>
          <w:b/>
          <w:bCs/>
          <w:sz w:val="24"/>
        </w:rPr>
        <w:t>For the period ended dd/mm/</w:t>
      </w:r>
      <w:proofErr w:type="spellStart"/>
      <w:r w:rsidRPr="00E1582A">
        <w:rPr>
          <w:rFonts w:ascii="Arial" w:hAnsi="Arial" w:cs="Arial"/>
          <w:b/>
          <w:bCs/>
          <w:sz w:val="24"/>
        </w:rPr>
        <w:t>yyyy</w:t>
      </w:r>
      <w:proofErr w:type="spellEnd"/>
    </w:p>
    <w:p w14:paraId="74DCEB39" w14:textId="77777777" w:rsidR="00E84B52" w:rsidRPr="00E1582A" w:rsidRDefault="00EC5EDC">
      <w:pPr>
        <w:pStyle w:val="Heading1"/>
        <w:numPr>
          <w:ilvl w:val="0"/>
          <w:numId w:val="0"/>
        </w:numPr>
        <w:spacing w:after="221"/>
        <w:ind w:left="43" w:right="0"/>
        <w:rPr>
          <w:rFonts w:ascii="Arial" w:hAnsi="Arial" w:cs="Arial"/>
          <w:b/>
          <w:bCs/>
          <w:sz w:val="24"/>
        </w:rPr>
      </w:pPr>
      <w:r w:rsidRPr="00E1582A">
        <w:rPr>
          <w:rFonts w:ascii="Arial" w:hAnsi="Arial" w:cs="Arial"/>
          <w:b/>
          <w:bCs/>
          <w:sz w:val="24"/>
        </w:rPr>
        <w:t>Section A: Scope of Review</w:t>
      </w:r>
    </w:p>
    <w:p w14:paraId="5A38E4D0" w14:textId="77777777" w:rsidR="00E84B52" w:rsidRPr="00E1582A" w:rsidRDefault="00EC5EDC">
      <w:pPr>
        <w:numPr>
          <w:ilvl w:val="0"/>
          <w:numId w:val="1"/>
        </w:numPr>
        <w:spacing w:after="313"/>
        <w:ind w:left="801" w:right="81" w:hanging="374"/>
        <w:rPr>
          <w:rFonts w:ascii="Arial" w:hAnsi="Arial" w:cs="Arial"/>
          <w:sz w:val="24"/>
        </w:rPr>
      </w:pPr>
      <w:r w:rsidRPr="00E1582A">
        <w:rPr>
          <w:rFonts w:ascii="Arial" w:hAnsi="Arial" w:cs="Arial"/>
          <w:sz w:val="24"/>
        </w:rPr>
        <w:t>Purpose of report</w:t>
      </w:r>
    </w:p>
    <w:p w14:paraId="53AEEA2F" w14:textId="77777777" w:rsidR="00E84B52" w:rsidRPr="00E1582A" w:rsidRDefault="00EC5EDC">
      <w:pPr>
        <w:numPr>
          <w:ilvl w:val="0"/>
          <w:numId w:val="1"/>
        </w:numPr>
        <w:spacing w:after="312"/>
        <w:ind w:left="801" w:right="81" w:hanging="374"/>
        <w:rPr>
          <w:rFonts w:ascii="Arial" w:hAnsi="Arial" w:cs="Arial"/>
          <w:sz w:val="24"/>
        </w:rPr>
      </w:pPr>
      <w:r w:rsidRPr="00E1582A">
        <w:rPr>
          <w:rFonts w:ascii="Arial" w:hAnsi="Arial" w:cs="Arial"/>
          <w:sz w:val="24"/>
        </w:rPr>
        <w:t>Name of Actuary (whether the Actuary is an employee of the HMO or an external consultant), professional qualifications, and the capacity in which he/she is carrying out the valuation of HMO Agreement Reserves, Projected Fund Withdrawals, UAFR, Aggregate Reserves for Long-Term Contracts, Insurance Premium Reserve, and Expense Reserve</w:t>
      </w:r>
    </w:p>
    <w:p w14:paraId="785AF91E" w14:textId="77777777" w:rsidR="00E84B52" w:rsidRPr="00E1582A" w:rsidRDefault="00EC5EDC">
      <w:pPr>
        <w:numPr>
          <w:ilvl w:val="0"/>
          <w:numId w:val="1"/>
        </w:numPr>
        <w:spacing w:after="637" w:line="249" w:lineRule="auto"/>
        <w:ind w:left="801" w:right="81" w:hanging="374"/>
        <w:rPr>
          <w:rFonts w:ascii="Arial" w:hAnsi="Arial" w:cs="Arial"/>
          <w:sz w:val="24"/>
        </w:rPr>
      </w:pPr>
      <w:r w:rsidRPr="00E1582A">
        <w:rPr>
          <w:rFonts w:ascii="Arial" w:hAnsi="Arial" w:cs="Arial"/>
          <w:sz w:val="24"/>
        </w:rPr>
        <w:t>Confirmation from the Actuary of compliance with requirements with this Valuation Standards, and reasons, if any, for not complying fully with any requirements</w:t>
      </w:r>
    </w:p>
    <w:p w14:paraId="5513F141" w14:textId="77777777" w:rsidR="00E84B52" w:rsidRPr="00E1582A" w:rsidRDefault="00EC5EDC">
      <w:pPr>
        <w:pStyle w:val="Heading1"/>
        <w:numPr>
          <w:ilvl w:val="0"/>
          <w:numId w:val="0"/>
        </w:numPr>
        <w:spacing w:after="218"/>
        <w:ind w:left="43" w:right="0"/>
        <w:rPr>
          <w:rFonts w:ascii="Arial" w:hAnsi="Arial" w:cs="Arial"/>
          <w:b/>
          <w:bCs/>
          <w:sz w:val="24"/>
        </w:rPr>
      </w:pPr>
      <w:r w:rsidRPr="00E1582A">
        <w:rPr>
          <w:rFonts w:ascii="Arial" w:hAnsi="Arial" w:cs="Arial"/>
          <w:b/>
          <w:bCs/>
          <w:sz w:val="24"/>
        </w:rPr>
        <w:t>Section B: Data Requirements</w:t>
      </w:r>
    </w:p>
    <w:p w14:paraId="0A6CDE1F" w14:textId="1F61897B" w:rsidR="00E1582A" w:rsidRPr="00E1582A" w:rsidRDefault="00EC5EDC" w:rsidP="00E1582A">
      <w:pPr>
        <w:pStyle w:val="ListParagraph"/>
        <w:numPr>
          <w:ilvl w:val="0"/>
          <w:numId w:val="2"/>
        </w:numPr>
        <w:spacing w:after="496" w:line="249" w:lineRule="auto"/>
        <w:ind w:right="86" w:hanging="376"/>
        <w:rPr>
          <w:rFonts w:ascii="Arial" w:hAnsi="Arial" w:cs="Arial"/>
          <w:sz w:val="24"/>
        </w:rPr>
      </w:pPr>
      <w:r w:rsidRPr="00E1582A">
        <w:rPr>
          <w:rFonts w:ascii="Arial" w:hAnsi="Arial" w:cs="Arial"/>
          <w:sz w:val="24"/>
        </w:rPr>
        <w:t xml:space="preserve">The basis on which the analysis has been carried </w:t>
      </w:r>
      <w:proofErr w:type="gramStart"/>
      <w:r w:rsidRPr="00E1582A">
        <w:rPr>
          <w:rFonts w:ascii="Arial" w:hAnsi="Arial" w:cs="Arial"/>
          <w:sz w:val="24"/>
        </w:rPr>
        <w:t>out</w:t>
      </w:r>
      <w:proofErr w:type="gramEnd"/>
    </w:p>
    <w:p w14:paraId="20AB8F51" w14:textId="48AC05F2" w:rsidR="00E84B52" w:rsidRPr="00E1582A" w:rsidRDefault="00EC5EDC" w:rsidP="00E1582A">
      <w:pPr>
        <w:numPr>
          <w:ilvl w:val="0"/>
          <w:numId w:val="2"/>
        </w:numPr>
        <w:spacing w:after="496" w:line="249" w:lineRule="auto"/>
        <w:ind w:right="86" w:hanging="384"/>
        <w:rPr>
          <w:rFonts w:ascii="Arial" w:hAnsi="Arial" w:cs="Arial"/>
          <w:sz w:val="24"/>
        </w:rPr>
      </w:pPr>
      <w:r w:rsidRPr="00E1582A">
        <w:rPr>
          <w:rFonts w:ascii="Arial" w:hAnsi="Arial" w:cs="Arial"/>
          <w:sz w:val="24"/>
        </w:rPr>
        <w:t xml:space="preserve">The source of the data and how it was </w:t>
      </w:r>
      <w:proofErr w:type="gramStart"/>
      <w:r w:rsidRPr="00E1582A">
        <w:rPr>
          <w:rFonts w:ascii="Arial" w:hAnsi="Arial" w:cs="Arial"/>
          <w:sz w:val="24"/>
        </w:rPr>
        <w:t>extracted</w:t>
      </w:r>
      <w:proofErr w:type="gramEnd"/>
    </w:p>
    <w:p w14:paraId="70A5D24A" w14:textId="77777777" w:rsidR="00E84B52" w:rsidRPr="00E1582A" w:rsidRDefault="00EC5EDC">
      <w:pPr>
        <w:numPr>
          <w:ilvl w:val="1"/>
          <w:numId w:val="2"/>
        </w:numPr>
        <w:spacing w:after="294" w:line="249" w:lineRule="auto"/>
        <w:ind w:left="1541" w:right="83" w:hanging="370"/>
        <w:rPr>
          <w:rFonts w:ascii="Arial" w:hAnsi="Arial" w:cs="Arial"/>
          <w:sz w:val="24"/>
        </w:rPr>
      </w:pPr>
      <w:r w:rsidRPr="00E1582A">
        <w:rPr>
          <w:rFonts w:ascii="Arial" w:hAnsi="Arial" w:cs="Arial"/>
          <w:sz w:val="24"/>
        </w:rPr>
        <w:t xml:space="preserve">Description of the company's current underwriting policies: specific market segments targeted, risk selection process, any major recent changes in membership fees and agreement conditions, any recent changes in levels of underwriting authorities, any recent changes in key personnel and delegation of authority, and any changes in level of deductibles or agreement </w:t>
      </w:r>
      <w:proofErr w:type="gramStart"/>
      <w:r w:rsidRPr="00E1582A">
        <w:rPr>
          <w:rFonts w:ascii="Arial" w:hAnsi="Arial" w:cs="Arial"/>
          <w:sz w:val="24"/>
        </w:rPr>
        <w:t>limits</w:t>
      </w:r>
      <w:proofErr w:type="gramEnd"/>
    </w:p>
    <w:p w14:paraId="2481661B" w14:textId="77777777" w:rsidR="00E84B52" w:rsidRPr="00E1582A" w:rsidRDefault="00EC5EDC">
      <w:pPr>
        <w:numPr>
          <w:ilvl w:val="1"/>
          <w:numId w:val="2"/>
        </w:numPr>
        <w:spacing w:after="328"/>
        <w:ind w:left="1541" w:right="83" w:hanging="370"/>
        <w:rPr>
          <w:rFonts w:ascii="Arial" w:hAnsi="Arial" w:cs="Arial"/>
          <w:sz w:val="24"/>
        </w:rPr>
      </w:pPr>
      <w:r w:rsidRPr="00E1582A">
        <w:rPr>
          <w:rFonts w:ascii="Arial" w:hAnsi="Arial" w:cs="Arial"/>
          <w:sz w:val="24"/>
        </w:rPr>
        <w:t>Description of the company's claims management policies: guidelines for case reserving, policies on opening and closing of claims, operational changes in claims function, large loss concerns and uncertainties</w:t>
      </w:r>
    </w:p>
    <w:p w14:paraId="1336F227" w14:textId="77777777" w:rsidR="00E84B52" w:rsidRPr="00E1582A" w:rsidRDefault="00EC5EDC">
      <w:pPr>
        <w:numPr>
          <w:ilvl w:val="0"/>
          <w:numId w:val="2"/>
        </w:numPr>
        <w:spacing w:after="496" w:line="249" w:lineRule="auto"/>
        <w:ind w:right="86" w:hanging="384"/>
        <w:rPr>
          <w:rFonts w:ascii="Arial" w:hAnsi="Arial" w:cs="Arial"/>
          <w:sz w:val="24"/>
        </w:rPr>
      </w:pPr>
      <w:r w:rsidRPr="00E1582A">
        <w:rPr>
          <w:rFonts w:ascii="Arial" w:hAnsi="Arial" w:cs="Arial"/>
          <w:sz w:val="24"/>
        </w:rPr>
        <w:t xml:space="preserve">Documentation of any adjustments made to the data to allow for abnormal items such as large losses, etc. including the nature, amount and rationale for the </w:t>
      </w:r>
      <w:proofErr w:type="gramStart"/>
      <w:r w:rsidRPr="00E1582A">
        <w:rPr>
          <w:rFonts w:ascii="Arial" w:hAnsi="Arial" w:cs="Arial"/>
          <w:sz w:val="24"/>
        </w:rPr>
        <w:t>adjustment</w:t>
      </w:r>
      <w:proofErr w:type="gramEnd"/>
    </w:p>
    <w:p w14:paraId="67352265" w14:textId="77777777" w:rsidR="00E84B52" w:rsidRPr="00E1582A" w:rsidRDefault="00EC5EDC">
      <w:pPr>
        <w:numPr>
          <w:ilvl w:val="1"/>
          <w:numId w:val="2"/>
        </w:numPr>
        <w:spacing w:after="405" w:line="249" w:lineRule="auto"/>
        <w:ind w:left="1541" w:right="83" w:hanging="370"/>
        <w:rPr>
          <w:rFonts w:ascii="Arial" w:hAnsi="Arial" w:cs="Arial"/>
          <w:sz w:val="24"/>
        </w:rPr>
      </w:pPr>
      <w:r w:rsidRPr="00E1582A">
        <w:rPr>
          <w:rFonts w:ascii="Arial" w:hAnsi="Arial" w:cs="Arial"/>
          <w:sz w:val="24"/>
        </w:rPr>
        <w:t xml:space="preserve">Description of significant events during the year affecting the claim experience and how these were taken into account in the valuation of the </w:t>
      </w:r>
      <w:proofErr w:type="gramStart"/>
      <w:r w:rsidRPr="00E1582A">
        <w:rPr>
          <w:rFonts w:ascii="Arial" w:hAnsi="Arial" w:cs="Arial"/>
          <w:sz w:val="24"/>
        </w:rPr>
        <w:t>liabilities</w:t>
      </w:r>
      <w:proofErr w:type="gramEnd"/>
    </w:p>
    <w:p w14:paraId="7C7569C9" w14:textId="77777777" w:rsidR="00E84B52" w:rsidRPr="00E1582A" w:rsidRDefault="00EC5EDC">
      <w:pPr>
        <w:numPr>
          <w:ilvl w:val="1"/>
          <w:numId w:val="2"/>
        </w:numPr>
        <w:spacing w:after="375"/>
        <w:ind w:left="1541" w:right="83" w:hanging="370"/>
        <w:rPr>
          <w:rFonts w:ascii="Arial" w:hAnsi="Arial" w:cs="Arial"/>
          <w:sz w:val="24"/>
        </w:rPr>
      </w:pPr>
      <w:r w:rsidRPr="00E1582A">
        <w:rPr>
          <w:rFonts w:ascii="Arial" w:hAnsi="Arial" w:cs="Arial"/>
          <w:sz w:val="24"/>
        </w:rPr>
        <w:lastRenderedPageBreak/>
        <w:t>Description of other effects considered including economic, technological, medical, legislative environment, social trends, competition, court decisions, consumerism, etc.</w:t>
      </w:r>
    </w:p>
    <w:p w14:paraId="3F682FD7" w14:textId="77777777" w:rsidR="00E84B52" w:rsidRPr="00E1582A" w:rsidRDefault="00EC5EDC">
      <w:pPr>
        <w:numPr>
          <w:ilvl w:val="0"/>
          <w:numId w:val="2"/>
        </w:numPr>
        <w:spacing w:after="620" w:line="249" w:lineRule="auto"/>
        <w:ind w:right="86" w:hanging="384"/>
        <w:rPr>
          <w:rFonts w:ascii="Arial" w:hAnsi="Arial" w:cs="Arial"/>
          <w:sz w:val="24"/>
        </w:rPr>
      </w:pPr>
      <w:r w:rsidRPr="00E1582A">
        <w:rPr>
          <w:rFonts w:ascii="Arial" w:hAnsi="Arial" w:cs="Arial"/>
          <w:sz w:val="24"/>
        </w:rPr>
        <w:t>Documentation of quantitative information which may have an impact on valuation, if applicable</w:t>
      </w:r>
    </w:p>
    <w:p w14:paraId="1B0033A2" w14:textId="77777777" w:rsidR="00E84B52" w:rsidRPr="00E1582A" w:rsidRDefault="00EC5EDC">
      <w:pPr>
        <w:pStyle w:val="Heading1"/>
        <w:numPr>
          <w:ilvl w:val="0"/>
          <w:numId w:val="0"/>
        </w:numPr>
        <w:spacing w:after="246"/>
        <w:ind w:left="43" w:right="0"/>
        <w:rPr>
          <w:rFonts w:ascii="Arial" w:hAnsi="Arial" w:cs="Arial"/>
          <w:b/>
          <w:bCs/>
          <w:sz w:val="24"/>
        </w:rPr>
      </w:pPr>
      <w:r w:rsidRPr="00E1582A">
        <w:rPr>
          <w:rFonts w:ascii="Arial" w:hAnsi="Arial" w:cs="Arial"/>
          <w:b/>
          <w:bCs/>
          <w:sz w:val="24"/>
        </w:rPr>
        <w:t>Section C: Valuation Methodologies and Assumptions</w:t>
      </w:r>
    </w:p>
    <w:p w14:paraId="71C9903C" w14:textId="7BB57A11" w:rsidR="00E84B52" w:rsidRPr="00E1582A" w:rsidRDefault="00EC5EDC" w:rsidP="00E1582A">
      <w:pPr>
        <w:numPr>
          <w:ilvl w:val="0"/>
          <w:numId w:val="9"/>
        </w:numPr>
        <w:spacing w:after="0" w:line="249" w:lineRule="auto"/>
        <w:ind w:right="86" w:hanging="336"/>
        <w:rPr>
          <w:rFonts w:ascii="Arial" w:hAnsi="Arial" w:cs="Arial"/>
          <w:sz w:val="24"/>
        </w:rPr>
      </w:pPr>
      <w:r w:rsidRPr="00E1582A">
        <w:rPr>
          <w:rFonts w:ascii="Arial" w:hAnsi="Arial" w:cs="Arial"/>
          <w:sz w:val="24"/>
        </w:rPr>
        <w:t>Detailed discussion on the valuation methods, assumptions, and professional judgment used in the estimation of the following:</w:t>
      </w:r>
    </w:p>
    <w:p w14:paraId="5CAF4B73" w14:textId="162D2E50"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Membership Fee Reserves (Unearned Membership Fee Reserves and Unexpired Risk Reserves)</w:t>
      </w:r>
    </w:p>
    <w:p w14:paraId="4BEE6C25" w14:textId="62E30B62"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 xml:space="preserve">Claim Reserves (Due and Unpaid Claims, In Course of Settlement, Resisted Claims, and Incurred </w:t>
      </w:r>
      <w:proofErr w:type="gramStart"/>
      <w:r w:rsidRPr="00E1582A">
        <w:rPr>
          <w:rFonts w:ascii="Arial" w:hAnsi="Arial" w:cs="Arial"/>
          <w:sz w:val="24"/>
        </w:rPr>
        <w:t>But</w:t>
      </w:r>
      <w:proofErr w:type="gramEnd"/>
      <w:r w:rsidRPr="00E1582A">
        <w:rPr>
          <w:rFonts w:ascii="Arial" w:hAnsi="Arial" w:cs="Arial"/>
          <w:sz w:val="24"/>
        </w:rPr>
        <w:t xml:space="preserve"> Not Reported)</w:t>
      </w:r>
    </w:p>
    <w:p w14:paraId="14B79A77" w14:textId="77777777"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 xml:space="preserve">Claims Handling Expense Reserve and other related </w:t>
      </w:r>
      <w:proofErr w:type="gramStart"/>
      <w:r w:rsidRPr="00E1582A">
        <w:rPr>
          <w:rFonts w:ascii="Arial" w:hAnsi="Arial" w:cs="Arial"/>
          <w:sz w:val="24"/>
        </w:rPr>
        <w:t>expenses</w:t>
      </w:r>
      <w:proofErr w:type="gramEnd"/>
    </w:p>
    <w:p w14:paraId="62AD8498" w14:textId="77777777"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Margin for adverse deviation</w:t>
      </w:r>
    </w:p>
    <w:p w14:paraId="35C4B25B" w14:textId="77777777"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Unearned Administrative Fee Reserves, if applicable</w:t>
      </w:r>
    </w:p>
    <w:p w14:paraId="69514583" w14:textId="77777777" w:rsid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Projected Fund Withdrawals, if applicable</w:t>
      </w:r>
    </w:p>
    <w:p w14:paraId="55FB1F8E" w14:textId="5FDE2C2B"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Aggregate Reserves for Long-Term Contracts, if applicable</w:t>
      </w:r>
    </w:p>
    <w:p w14:paraId="3FDBC802" w14:textId="77777777" w:rsid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Insurance Premium Reserves, if applicable</w:t>
      </w:r>
    </w:p>
    <w:p w14:paraId="1DF663E7" w14:textId="10163AD5" w:rsidR="00E84B52" w:rsidRPr="00E1582A"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Expense Reserves, if applicable</w:t>
      </w:r>
    </w:p>
    <w:p w14:paraId="10635C2E" w14:textId="3B4096AF" w:rsidR="00E84B52" w:rsidRDefault="00EC5EDC" w:rsidP="00E1582A">
      <w:pPr>
        <w:numPr>
          <w:ilvl w:val="1"/>
          <w:numId w:val="2"/>
        </w:numPr>
        <w:spacing w:after="0" w:line="249" w:lineRule="auto"/>
        <w:ind w:left="1541" w:right="83" w:hanging="370"/>
        <w:rPr>
          <w:rFonts w:ascii="Arial" w:hAnsi="Arial" w:cs="Arial"/>
          <w:sz w:val="24"/>
        </w:rPr>
      </w:pPr>
      <w:r w:rsidRPr="00E1582A">
        <w:rPr>
          <w:rFonts w:ascii="Arial" w:hAnsi="Arial" w:cs="Arial"/>
          <w:sz w:val="24"/>
        </w:rPr>
        <w:t>Discounting, if applicable</w:t>
      </w:r>
    </w:p>
    <w:p w14:paraId="61752802" w14:textId="77777777" w:rsidR="00E1582A" w:rsidRPr="00E1582A" w:rsidRDefault="00E1582A" w:rsidP="00E1582A">
      <w:pPr>
        <w:spacing w:after="0" w:line="249" w:lineRule="auto"/>
        <w:ind w:left="1541" w:right="83" w:firstLine="0"/>
        <w:rPr>
          <w:rFonts w:ascii="Arial" w:hAnsi="Arial" w:cs="Arial"/>
          <w:sz w:val="24"/>
        </w:rPr>
      </w:pPr>
    </w:p>
    <w:p w14:paraId="4ED3FA38" w14:textId="77777777" w:rsidR="00E84B52" w:rsidRDefault="00EC5EDC" w:rsidP="00E1582A">
      <w:pPr>
        <w:numPr>
          <w:ilvl w:val="0"/>
          <w:numId w:val="9"/>
        </w:numPr>
        <w:spacing w:after="0" w:line="249" w:lineRule="auto"/>
        <w:ind w:right="86" w:hanging="336"/>
        <w:rPr>
          <w:rFonts w:ascii="Arial" w:hAnsi="Arial" w:cs="Arial"/>
          <w:sz w:val="24"/>
        </w:rPr>
      </w:pPr>
      <w:r w:rsidRPr="00E1582A">
        <w:rPr>
          <w:rFonts w:ascii="Arial" w:hAnsi="Arial" w:cs="Arial"/>
          <w:sz w:val="24"/>
        </w:rPr>
        <w:t xml:space="preserve">When more than one method is used, the basis for choice of </w:t>
      </w:r>
      <w:proofErr w:type="gramStart"/>
      <w:r w:rsidRPr="00E1582A">
        <w:rPr>
          <w:rFonts w:ascii="Arial" w:hAnsi="Arial" w:cs="Arial"/>
          <w:sz w:val="24"/>
        </w:rPr>
        <w:t>results</w:t>
      </w:r>
      <w:proofErr w:type="gramEnd"/>
    </w:p>
    <w:p w14:paraId="716DC57A" w14:textId="77777777" w:rsidR="00E1582A" w:rsidRPr="00E1582A" w:rsidRDefault="00E1582A" w:rsidP="00E1582A">
      <w:pPr>
        <w:spacing w:after="0" w:line="249" w:lineRule="auto"/>
        <w:ind w:left="826" w:right="86" w:firstLine="0"/>
        <w:rPr>
          <w:rFonts w:ascii="Arial" w:hAnsi="Arial" w:cs="Arial"/>
          <w:sz w:val="24"/>
        </w:rPr>
      </w:pPr>
    </w:p>
    <w:p w14:paraId="35332850" w14:textId="77777777" w:rsidR="00E84B52" w:rsidRDefault="00EC5EDC" w:rsidP="00E1582A">
      <w:pPr>
        <w:numPr>
          <w:ilvl w:val="0"/>
          <w:numId w:val="9"/>
        </w:numPr>
        <w:spacing w:after="0" w:line="249" w:lineRule="auto"/>
        <w:ind w:right="86" w:hanging="336"/>
        <w:rPr>
          <w:rFonts w:ascii="Arial" w:hAnsi="Arial" w:cs="Arial"/>
          <w:sz w:val="24"/>
        </w:rPr>
      </w:pPr>
      <w:r w:rsidRPr="00E1582A">
        <w:rPr>
          <w:rFonts w:ascii="Arial" w:hAnsi="Arial" w:cs="Arial"/>
          <w:sz w:val="24"/>
        </w:rPr>
        <w:t xml:space="preserve">Justification for key differences in assumptions between valuations of membership fee and claim </w:t>
      </w:r>
      <w:proofErr w:type="gramStart"/>
      <w:r w:rsidRPr="00E1582A">
        <w:rPr>
          <w:rFonts w:ascii="Arial" w:hAnsi="Arial" w:cs="Arial"/>
          <w:sz w:val="24"/>
        </w:rPr>
        <w:t>reserves</w:t>
      </w:r>
      <w:proofErr w:type="gramEnd"/>
    </w:p>
    <w:p w14:paraId="2D47CD04" w14:textId="77777777" w:rsidR="00E1582A" w:rsidRPr="00E1582A" w:rsidRDefault="00E1582A" w:rsidP="00E1582A">
      <w:pPr>
        <w:spacing w:after="0" w:line="249" w:lineRule="auto"/>
        <w:ind w:left="0" w:right="86" w:firstLine="0"/>
        <w:rPr>
          <w:rFonts w:ascii="Arial" w:hAnsi="Arial" w:cs="Arial"/>
          <w:sz w:val="24"/>
        </w:rPr>
      </w:pPr>
    </w:p>
    <w:p w14:paraId="069E431B" w14:textId="77777777" w:rsidR="00E84B52" w:rsidRDefault="00EC5EDC" w:rsidP="00E1582A">
      <w:pPr>
        <w:numPr>
          <w:ilvl w:val="0"/>
          <w:numId w:val="9"/>
        </w:numPr>
        <w:spacing w:after="0" w:line="249" w:lineRule="auto"/>
        <w:ind w:right="86" w:hanging="336"/>
        <w:rPr>
          <w:rFonts w:ascii="Arial" w:hAnsi="Arial" w:cs="Arial"/>
          <w:sz w:val="24"/>
        </w:rPr>
      </w:pPr>
      <w:r w:rsidRPr="00E1582A">
        <w:rPr>
          <w:rFonts w:ascii="Arial" w:hAnsi="Arial" w:cs="Arial"/>
          <w:sz w:val="24"/>
        </w:rPr>
        <w:t>Any material deviations from this Valuation Standards in terms of valuation methodologies and assumptions, and basis for these deviations</w:t>
      </w:r>
    </w:p>
    <w:p w14:paraId="41F1B51E" w14:textId="77777777" w:rsidR="00E1582A" w:rsidRPr="00E1582A" w:rsidRDefault="00E1582A" w:rsidP="00E1582A">
      <w:pPr>
        <w:spacing w:after="0" w:line="249" w:lineRule="auto"/>
        <w:ind w:left="0" w:right="86" w:firstLine="0"/>
        <w:rPr>
          <w:rFonts w:ascii="Arial" w:hAnsi="Arial" w:cs="Arial"/>
          <w:sz w:val="24"/>
        </w:rPr>
      </w:pPr>
    </w:p>
    <w:p w14:paraId="00812593" w14:textId="77777777" w:rsidR="00E84B52" w:rsidRPr="00E1582A" w:rsidRDefault="00EC5EDC">
      <w:pPr>
        <w:pStyle w:val="Heading1"/>
        <w:numPr>
          <w:ilvl w:val="0"/>
          <w:numId w:val="0"/>
        </w:numPr>
        <w:spacing w:after="235"/>
        <w:ind w:left="43" w:right="0"/>
        <w:rPr>
          <w:rFonts w:ascii="Arial" w:hAnsi="Arial" w:cs="Arial"/>
          <w:b/>
          <w:bCs/>
          <w:sz w:val="24"/>
        </w:rPr>
      </w:pPr>
      <w:r w:rsidRPr="00E1582A">
        <w:rPr>
          <w:rFonts w:ascii="Arial" w:hAnsi="Arial" w:cs="Arial"/>
          <w:b/>
          <w:bCs/>
          <w:sz w:val="24"/>
        </w:rPr>
        <w:t>Section D: Analysis of Experience</w:t>
      </w:r>
    </w:p>
    <w:p w14:paraId="758B25CE" w14:textId="77777777" w:rsidR="00E84B52" w:rsidRDefault="00EC5EDC" w:rsidP="00E1582A">
      <w:pPr>
        <w:numPr>
          <w:ilvl w:val="0"/>
          <w:numId w:val="10"/>
        </w:numPr>
        <w:spacing w:after="0" w:line="249" w:lineRule="auto"/>
        <w:ind w:right="86" w:hanging="379"/>
        <w:rPr>
          <w:rFonts w:ascii="Arial" w:hAnsi="Arial" w:cs="Arial"/>
          <w:sz w:val="24"/>
        </w:rPr>
      </w:pPr>
      <w:r w:rsidRPr="00E1582A">
        <w:rPr>
          <w:rFonts w:ascii="Arial" w:hAnsi="Arial" w:cs="Arial"/>
          <w:sz w:val="24"/>
        </w:rPr>
        <w:t>For year-end valuation, detailed analysis of the company's actual experience of both URR and claim reserves versus expected experience in previous year-end valuations, including justifications for any material change observed. The experience analysis should cover claims payments and incurred cost movement.</w:t>
      </w:r>
    </w:p>
    <w:p w14:paraId="3F06175B" w14:textId="77777777" w:rsidR="00E1582A" w:rsidRPr="00E1582A" w:rsidRDefault="00E1582A" w:rsidP="00E1582A">
      <w:pPr>
        <w:spacing w:after="0" w:line="249" w:lineRule="auto"/>
        <w:ind w:left="826" w:right="86" w:firstLine="0"/>
        <w:rPr>
          <w:rFonts w:ascii="Arial" w:hAnsi="Arial" w:cs="Arial"/>
          <w:sz w:val="24"/>
        </w:rPr>
      </w:pPr>
    </w:p>
    <w:p w14:paraId="763652E2" w14:textId="77777777" w:rsidR="00E84B52" w:rsidRDefault="00EC5EDC" w:rsidP="00E1582A">
      <w:pPr>
        <w:numPr>
          <w:ilvl w:val="0"/>
          <w:numId w:val="10"/>
        </w:numPr>
        <w:spacing w:after="0" w:line="249" w:lineRule="auto"/>
        <w:ind w:right="86" w:hanging="336"/>
        <w:rPr>
          <w:rFonts w:ascii="Arial" w:hAnsi="Arial" w:cs="Arial"/>
          <w:sz w:val="24"/>
        </w:rPr>
      </w:pPr>
      <w:r w:rsidRPr="00E1582A">
        <w:rPr>
          <w:rFonts w:ascii="Arial" w:hAnsi="Arial" w:cs="Arial"/>
          <w:sz w:val="24"/>
        </w:rPr>
        <w:t>Detailed analysis of the company's actual versus projected fund withdrawals in previous valuations, including justifications for any material change observed.</w:t>
      </w:r>
    </w:p>
    <w:p w14:paraId="5972AC71" w14:textId="77777777" w:rsidR="00E1582A" w:rsidRDefault="00E1582A" w:rsidP="00E1582A">
      <w:pPr>
        <w:pStyle w:val="ListParagraph"/>
        <w:rPr>
          <w:rFonts w:ascii="Arial" w:hAnsi="Arial" w:cs="Arial"/>
          <w:sz w:val="24"/>
        </w:rPr>
      </w:pPr>
    </w:p>
    <w:p w14:paraId="05278DAC" w14:textId="77777777" w:rsidR="00E1582A" w:rsidRPr="00E1582A" w:rsidRDefault="00E1582A" w:rsidP="00E1582A">
      <w:pPr>
        <w:spacing w:after="0" w:line="249" w:lineRule="auto"/>
        <w:ind w:left="826" w:right="86" w:firstLine="0"/>
        <w:rPr>
          <w:rFonts w:ascii="Arial" w:hAnsi="Arial" w:cs="Arial"/>
          <w:sz w:val="24"/>
        </w:rPr>
      </w:pPr>
    </w:p>
    <w:p w14:paraId="1D16A802" w14:textId="77777777" w:rsidR="00E84B52" w:rsidRDefault="00EC5EDC" w:rsidP="00E1582A">
      <w:pPr>
        <w:numPr>
          <w:ilvl w:val="0"/>
          <w:numId w:val="10"/>
        </w:numPr>
        <w:spacing w:after="0" w:line="249" w:lineRule="auto"/>
        <w:ind w:right="86" w:hanging="336"/>
        <w:rPr>
          <w:rFonts w:ascii="Arial" w:hAnsi="Arial" w:cs="Arial"/>
          <w:sz w:val="24"/>
        </w:rPr>
      </w:pPr>
      <w:r w:rsidRPr="00E1582A">
        <w:rPr>
          <w:rFonts w:ascii="Arial" w:hAnsi="Arial" w:cs="Arial"/>
          <w:sz w:val="24"/>
        </w:rPr>
        <w:lastRenderedPageBreak/>
        <w:t>Comparative analysis between current and previous valuation such as discussion of reserve movements.</w:t>
      </w:r>
    </w:p>
    <w:p w14:paraId="189EB18A" w14:textId="77777777" w:rsidR="00E1582A" w:rsidRPr="00E1582A" w:rsidRDefault="00E1582A" w:rsidP="00E1582A">
      <w:pPr>
        <w:spacing w:after="0" w:line="249" w:lineRule="auto"/>
        <w:ind w:left="826" w:right="86" w:firstLine="0"/>
        <w:rPr>
          <w:rFonts w:ascii="Arial" w:hAnsi="Arial" w:cs="Arial"/>
          <w:sz w:val="24"/>
        </w:rPr>
      </w:pPr>
    </w:p>
    <w:p w14:paraId="09380A9B" w14:textId="77777777" w:rsidR="00E84B52" w:rsidRPr="00E1582A" w:rsidRDefault="00EC5EDC">
      <w:pPr>
        <w:pStyle w:val="Heading1"/>
        <w:numPr>
          <w:ilvl w:val="0"/>
          <w:numId w:val="0"/>
        </w:numPr>
        <w:spacing w:after="185"/>
        <w:ind w:left="43" w:right="0"/>
        <w:rPr>
          <w:rFonts w:ascii="Arial" w:hAnsi="Arial" w:cs="Arial"/>
          <w:b/>
          <w:bCs/>
          <w:sz w:val="24"/>
        </w:rPr>
      </w:pPr>
      <w:r w:rsidRPr="00E1582A">
        <w:rPr>
          <w:rFonts w:ascii="Arial" w:hAnsi="Arial" w:cs="Arial"/>
          <w:b/>
          <w:bCs/>
          <w:sz w:val="24"/>
        </w:rPr>
        <w:t>Section E: Valuation Results and Discussion</w:t>
      </w:r>
    </w:p>
    <w:p w14:paraId="45FB806D" w14:textId="77777777" w:rsidR="00E84B52" w:rsidRPr="00E1582A" w:rsidRDefault="00EC5EDC">
      <w:pPr>
        <w:spacing w:after="600"/>
        <w:ind w:left="19" w:right="81"/>
        <w:rPr>
          <w:rFonts w:ascii="Arial" w:hAnsi="Arial" w:cs="Arial"/>
          <w:sz w:val="24"/>
        </w:rPr>
      </w:pPr>
      <w:r w:rsidRPr="00E1582A">
        <w:rPr>
          <w:rFonts w:ascii="Arial" w:hAnsi="Arial" w:cs="Arial"/>
          <w:sz w:val="24"/>
        </w:rPr>
        <w:t>This shall include a summary of the valuation results. Companies shall provide a short narrative discussing their valuation results for each class of business.</w:t>
      </w:r>
    </w:p>
    <w:p w14:paraId="5C7A9E34" w14:textId="77777777" w:rsidR="00E84B52" w:rsidRPr="00E1582A" w:rsidRDefault="00EC5EDC">
      <w:pPr>
        <w:pStyle w:val="Heading1"/>
        <w:numPr>
          <w:ilvl w:val="0"/>
          <w:numId w:val="0"/>
        </w:numPr>
        <w:spacing w:after="212"/>
        <w:ind w:left="43" w:right="0"/>
        <w:rPr>
          <w:rFonts w:ascii="Arial" w:hAnsi="Arial" w:cs="Arial"/>
          <w:b/>
          <w:bCs/>
          <w:sz w:val="24"/>
        </w:rPr>
      </w:pPr>
      <w:r w:rsidRPr="00E1582A">
        <w:rPr>
          <w:rFonts w:ascii="Arial" w:hAnsi="Arial" w:cs="Arial"/>
          <w:b/>
          <w:bCs/>
          <w:sz w:val="24"/>
        </w:rPr>
        <w:t>Section F: Certification by the Actuary</w:t>
      </w:r>
    </w:p>
    <w:p w14:paraId="67140B1A" w14:textId="77777777" w:rsidR="00E84B52" w:rsidRPr="00E1582A" w:rsidRDefault="00EC5EDC">
      <w:pPr>
        <w:spacing w:after="467" w:line="249" w:lineRule="auto"/>
        <w:ind w:left="38" w:right="86" w:firstLine="0"/>
        <w:rPr>
          <w:rFonts w:ascii="Arial" w:hAnsi="Arial" w:cs="Arial"/>
          <w:sz w:val="24"/>
        </w:rPr>
      </w:pPr>
      <w:r w:rsidRPr="00E1582A">
        <w:rPr>
          <w:rFonts w:ascii="Arial" w:hAnsi="Arial" w:cs="Arial"/>
          <w:sz w:val="24"/>
        </w:rPr>
        <w:t>The Actuary shall provide a certification as set out below:</w:t>
      </w:r>
    </w:p>
    <w:p w14:paraId="06FAD8F6" w14:textId="77777777" w:rsidR="00E84B52" w:rsidRDefault="00EC5EDC">
      <w:pPr>
        <w:spacing w:after="11" w:line="249" w:lineRule="auto"/>
        <w:ind w:left="38" w:right="86" w:firstLine="0"/>
        <w:rPr>
          <w:rFonts w:ascii="Arial" w:hAnsi="Arial" w:cs="Arial"/>
          <w:sz w:val="24"/>
          <w:u w:val="single" w:color="000000"/>
        </w:rPr>
      </w:pPr>
      <w:r w:rsidRPr="00E1582A">
        <w:rPr>
          <w:rFonts w:ascii="Arial" w:hAnsi="Arial" w:cs="Arial"/>
          <w:sz w:val="24"/>
        </w:rPr>
        <w:t xml:space="preserve">I have undertaken the actuarial valuation of </w:t>
      </w:r>
      <w:r w:rsidRPr="00E1582A">
        <w:rPr>
          <w:rFonts w:ascii="Arial" w:hAnsi="Arial" w:cs="Arial"/>
          <w:sz w:val="24"/>
          <w:u w:val="single" w:color="000000"/>
        </w:rPr>
        <w:t>(Name of HMO)</w:t>
      </w:r>
      <w:r w:rsidRPr="00E1582A">
        <w:rPr>
          <w:rFonts w:ascii="Arial" w:hAnsi="Arial" w:cs="Arial"/>
          <w:sz w:val="24"/>
        </w:rPr>
        <w:t xml:space="preserve"> as of </w:t>
      </w:r>
      <w:r w:rsidRPr="00E1582A">
        <w:rPr>
          <w:rFonts w:ascii="Arial" w:hAnsi="Arial" w:cs="Arial"/>
          <w:sz w:val="24"/>
          <w:u w:val="single" w:color="000000"/>
        </w:rPr>
        <w:t>(date of valuation).</w:t>
      </w:r>
    </w:p>
    <w:p w14:paraId="7610326E" w14:textId="77777777" w:rsidR="00E1582A" w:rsidRPr="00E1582A" w:rsidRDefault="00E1582A">
      <w:pPr>
        <w:spacing w:after="11" w:line="249" w:lineRule="auto"/>
        <w:ind w:left="38" w:right="86" w:firstLine="0"/>
        <w:rPr>
          <w:rFonts w:ascii="Arial" w:hAnsi="Arial" w:cs="Arial"/>
          <w:sz w:val="24"/>
        </w:rPr>
      </w:pPr>
    </w:p>
    <w:p w14:paraId="60621A26" w14:textId="77777777" w:rsidR="00E84B52" w:rsidRPr="00E1582A" w:rsidRDefault="00EC5EDC">
      <w:pPr>
        <w:spacing w:after="198" w:line="249" w:lineRule="auto"/>
        <w:ind w:left="38" w:right="86" w:firstLine="0"/>
        <w:rPr>
          <w:rFonts w:ascii="Arial" w:hAnsi="Arial" w:cs="Arial"/>
          <w:sz w:val="24"/>
        </w:rPr>
      </w:pPr>
      <w:r w:rsidRPr="00E1582A">
        <w:rPr>
          <w:rFonts w:ascii="Arial" w:hAnsi="Arial" w:cs="Arial"/>
          <w:sz w:val="24"/>
        </w:rPr>
        <w:t xml:space="preserve">I have conducted tests necessary to verify the reasonableness and integrity of the data submitted by </w:t>
      </w:r>
      <w:r w:rsidRPr="00E1582A">
        <w:rPr>
          <w:rFonts w:ascii="Arial" w:hAnsi="Arial" w:cs="Arial"/>
          <w:sz w:val="24"/>
          <w:u w:val="single" w:color="000000"/>
        </w:rPr>
        <w:t>(Name and Position of CEO or Responsible Person)</w:t>
      </w:r>
      <w:r w:rsidRPr="00E1582A">
        <w:rPr>
          <w:rFonts w:ascii="Arial" w:hAnsi="Arial" w:cs="Arial"/>
          <w:sz w:val="24"/>
        </w:rPr>
        <w:t>.</w:t>
      </w:r>
    </w:p>
    <w:p w14:paraId="2E921A45" w14:textId="77777777" w:rsidR="00E84B52" w:rsidRDefault="00EC5EDC">
      <w:pPr>
        <w:spacing w:after="11" w:line="249" w:lineRule="auto"/>
        <w:ind w:left="38" w:right="86" w:firstLine="0"/>
        <w:rPr>
          <w:rFonts w:ascii="Arial" w:hAnsi="Arial" w:cs="Arial"/>
          <w:sz w:val="24"/>
        </w:rPr>
      </w:pPr>
      <w:r w:rsidRPr="00E1582A">
        <w:rPr>
          <w:rFonts w:ascii="Arial" w:hAnsi="Arial" w:cs="Arial"/>
          <w:sz w:val="24"/>
        </w:rPr>
        <w:t>I hereby certify that:</w:t>
      </w:r>
    </w:p>
    <w:p w14:paraId="472F14E8" w14:textId="77777777" w:rsidR="00E1582A" w:rsidRPr="00E1582A" w:rsidRDefault="00E1582A">
      <w:pPr>
        <w:spacing w:after="11" w:line="249" w:lineRule="auto"/>
        <w:ind w:left="38" w:right="86" w:firstLine="0"/>
        <w:rPr>
          <w:rFonts w:ascii="Arial" w:hAnsi="Arial" w:cs="Arial"/>
          <w:sz w:val="24"/>
        </w:rPr>
      </w:pPr>
    </w:p>
    <w:p w14:paraId="36068336" w14:textId="77777777" w:rsidR="00E84B52" w:rsidRPr="00E1582A" w:rsidRDefault="00EC5EDC" w:rsidP="00E1582A">
      <w:pPr>
        <w:numPr>
          <w:ilvl w:val="0"/>
          <w:numId w:val="11"/>
        </w:numPr>
        <w:spacing w:after="0" w:line="249" w:lineRule="auto"/>
        <w:ind w:right="86" w:hanging="370"/>
        <w:rPr>
          <w:rFonts w:ascii="Arial" w:hAnsi="Arial" w:cs="Arial"/>
          <w:sz w:val="24"/>
        </w:rPr>
      </w:pPr>
      <w:r w:rsidRPr="00E1582A">
        <w:rPr>
          <w:rFonts w:ascii="Arial" w:hAnsi="Arial" w:cs="Arial"/>
          <w:sz w:val="24"/>
        </w:rPr>
        <w:t xml:space="preserve">The actuarial assumptions and formulations used in this actuarial valuation are in accordance with generally accepted actuarial principles and </w:t>
      </w:r>
      <w:proofErr w:type="gramStart"/>
      <w:r w:rsidRPr="00E1582A">
        <w:rPr>
          <w:rFonts w:ascii="Arial" w:hAnsi="Arial" w:cs="Arial"/>
          <w:sz w:val="24"/>
        </w:rPr>
        <w:t>practices;</w:t>
      </w:r>
      <w:proofErr w:type="gramEnd"/>
    </w:p>
    <w:p w14:paraId="32E486A9" w14:textId="77777777" w:rsidR="00E84B52" w:rsidRPr="00E1582A" w:rsidRDefault="00EC5EDC" w:rsidP="00E1582A">
      <w:pPr>
        <w:numPr>
          <w:ilvl w:val="0"/>
          <w:numId w:val="11"/>
        </w:numPr>
        <w:spacing w:after="0" w:line="249" w:lineRule="auto"/>
        <w:ind w:right="86" w:hanging="336"/>
        <w:rPr>
          <w:rFonts w:ascii="Arial" w:hAnsi="Arial" w:cs="Arial"/>
          <w:sz w:val="24"/>
        </w:rPr>
      </w:pPr>
      <w:r w:rsidRPr="00E1582A">
        <w:rPr>
          <w:rFonts w:ascii="Arial" w:hAnsi="Arial" w:cs="Arial"/>
          <w:sz w:val="24"/>
        </w:rPr>
        <w:t>The reserves for all benefits are valued in accordance with the assumptions,</w:t>
      </w:r>
    </w:p>
    <w:p w14:paraId="040EC549" w14:textId="77777777" w:rsidR="00E84B52" w:rsidRPr="00E1582A" w:rsidRDefault="00EC5EDC" w:rsidP="00E1582A">
      <w:pPr>
        <w:numPr>
          <w:ilvl w:val="0"/>
          <w:numId w:val="11"/>
        </w:numPr>
        <w:spacing w:after="0" w:line="249" w:lineRule="auto"/>
        <w:ind w:right="86" w:hanging="336"/>
        <w:rPr>
          <w:rFonts w:ascii="Arial" w:hAnsi="Arial" w:cs="Arial"/>
          <w:sz w:val="24"/>
        </w:rPr>
      </w:pPr>
      <w:r w:rsidRPr="00E1582A">
        <w:rPr>
          <w:rFonts w:ascii="Arial" w:hAnsi="Arial" w:cs="Arial"/>
          <w:sz w:val="24"/>
        </w:rPr>
        <w:t>[The insurance benefits included in the HMO Agreement are covered under a separate insurance contract — to be included if applicable</w:t>
      </w:r>
      <w:proofErr w:type="gramStart"/>
      <w:r w:rsidRPr="00E1582A">
        <w:rPr>
          <w:rFonts w:ascii="Arial" w:hAnsi="Arial" w:cs="Arial"/>
          <w:sz w:val="24"/>
        </w:rPr>
        <w:t>];</w:t>
      </w:r>
      <w:proofErr w:type="gramEnd"/>
    </w:p>
    <w:p w14:paraId="41DA985D" w14:textId="3699F41A" w:rsidR="00E84B52" w:rsidRPr="00E1582A" w:rsidRDefault="00EC5EDC" w:rsidP="00E1582A">
      <w:pPr>
        <w:numPr>
          <w:ilvl w:val="0"/>
          <w:numId w:val="11"/>
        </w:numPr>
        <w:spacing w:after="0" w:line="249" w:lineRule="auto"/>
        <w:ind w:right="86" w:hanging="336"/>
        <w:rPr>
          <w:rFonts w:ascii="Arial" w:hAnsi="Arial" w:cs="Arial"/>
          <w:sz w:val="24"/>
        </w:rPr>
      </w:pPr>
      <w:r w:rsidRPr="00E1582A">
        <w:rPr>
          <w:rFonts w:ascii="Arial" w:hAnsi="Arial" w:cs="Arial"/>
          <w:sz w:val="24"/>
        </w:rPr>
        <w:t xml:space="preserve">The information contained in this Report are accurate to the best of my knowledge and that I have calculated the (HMO Agreement Reserves, </w:t>
      </w:r>
      <w:r w:rsidRPr="00E1582A">
        <w:rPr>
          <w:rFonts w:ascii="Arial" w:hAnsi="Arial" w:cs="Arial"/>
          <w:sz w:val="24"/>
        </w:rPr>
        <w:t>Projected Fund Withdrawals from ASO Fund, UAFR, Aggregate Reserves for</w:t>
      </w:r>
      <w:r w:rsidR="00E1582A">
        <w:rPr>
          <w:rFonts w:ascii="Arial" w:hAnsi="Arial" w:cs="Arial"/>
          <w:sz w:val="24"/>
        </w:rPr>
        <w:t xml:space="preserve"> </w:t>
      </w:r>
      <w:r w:rsidRPr="00E1582A">
        <w:rPr>
          <w:rFonts w:ascii="Arial" w:hAnsi="Arial" w:cs="Arial"/>
          <w:sz w:val="24"/>
        </w:rPr>
        <w:t>Long-Term Contracts, Insurance Premium Reserve, and Expense Reserve) in accordance with the Valuation Standards prescribed by the Insurance</w:t>
      </w:r>
      <w:r w:rsidR="00E1582A">
        <w:rPr>
          <w:rFonts w:ascii="Arial" w:hAnsi="Arial" w:cs="Arial"/>
          <w:sz w:val="24"/>
        </w:rPr>
        <w:t xml:space="preserve"> </w:t>
      </w:r>
      <w:r w:rsidRPr="00E1582A">
        <w:rPr>
          <w:rFonts w:ascii="Arial" w:eastAsia="Times New Roman" w:hAnsi="Arial" w:cs="Arial"/>
          <w:sz w:val="24"/>
        </w:rPr>
        <w:t>Commission.</w:t>
      </w:r>
    </w:p>
    <w:p w14:paraId="7DCE58BE" w14:textId="77777777" w:rsidR="00E1582A" w:rsidRDefault="00E1582A" w:rsidP="00E1582A">
      <w:pPr>
        <w:spacing w:after="0" w:line="249" w:lineRule="auto"/>
        <w:ind w:right="86"/>
        <w:rPr>
          <w:rFonts w:ascii="Arial" w:eastAsia="Times New Roman" w:hAnsi="Arial" w:cs="Arial"/>
          <w:sz w:val="24"/>
        </w:rPr>
      </w:pPr>
    </w:p>
    <w:p w14:paraId="683CC2A0" w14:textId="77777777" w:rsidR="00E1582A" w:rsidRPr="00E1582A" w:rsidRDefault="00E1582A" w:rsidP="00E1582A">
      <w:pPr>
        <w:spacing w:after="0" w:line="249" w:lineRule="auto"/>
        <w:ind w:right="86"/>
        <w:rPr>
          <w:rFonts w:ascii="Arial" w:hAnsi="Arial" w:cs="Arial"/>
          <w:sz w:val="24"/>
        </w:rPr>
      </w:pPr>
    </w:p>
    <w:p w14:paraId="7A13EF90" w14:textId="77777777" w:rsidR="00E84B52" w:rsidRPr="00E1582A" w:rsidRDefault="00EC5EDC">
      <w:pPr>
        <w:spacing w:after="37" w:line="259" w:lineRule="auto"/>
        <w:ind w:left="3686" w:firstLine="0"/>
        <w:jc w:val="left"/>
        <w:rPr>
          <w:rFonts w:ascii="Arial" w:hAnsi="Arial" w:cs="Arial"/>
          <w:sz w:val="24"/>
        </w:rPr>
      </w:pPr>
      <w:r w:rsidRPr="00E1582A">
        <w:rPr>
          <w:rFonts w:ascii="Arial" w:hAnsi="Arial" w:cs="Arial"/>
          <w:noProof/>
          <w:sz w:val="24"/>
        </w:rPr>
        <mc:AlternateContent>
          <mc:Choice Requires="wpg">
            <w:drawing>
              <wp:inline distT="0" distB="0" distL="0" distR="0" wp14:anchorId="5667E978" wp14:editId="6B748F8F">
                <wp:extent cx="2785872" cy="9147"/>
                <wp:effectExtent l="0" t="0" r="0" b="0"/>
                <wp:docPr id="11504" name="Group 11504"/>
                <wp:cNvGraphicFramePr/>
                <a:graphic xmlns:a="http://schemas.openxmlformats.org/drawingml/2006/main">
                  <a:graphicData uri="http://schemas.microsoft.com/office/word/2010/wordprocessingGroup">
                    <wpg:wgp>
                      <wpg:cNvGrpSpPr/>
                      <wpg:grpSpPr>
                        <a:xfrm>
                          <a:off x="0" y="0"/>
                          <a:ext cx="2785872" cy="9147"/>
                          <a:chOff x="0" y="0"/>
                          <a:chExt cx="2785872" cy="9147"/>
                        </a:xfrm>
                      </wpg:grpSpPr>
                      <wps:wsp>
                        <wps:cNvPr id="11503" name="Shape 11503"/>
                        <wps:cNvSpPr/>
                        <wps:spPr>
                          <a:xfrm>
                            <a:off x="0" y="0"/>
                            <a:ext cx="2785872" cy="9147"/>
                          </a:xfrm>
                          <a:custGeom>
                            <a:avLst/>
                            <a:gdLst/>
                            <a:ahLst/>
                            <a:cxnLst/>
                            <a:rect l="0" t="0" r="0" b="0"/>
                            <a:pathLst>
                              <a:path w="2785872" h="9147">
                                <a:moveTo>
                                  <a:pt x="0" y="4573"/>
                                </a:moveTo>
                                <a:lnTo>
                                  <a:pt x="27858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04" style="width:219.36pt;height:0.720215pt;mso-position-horizontal-relative:char;mso-position-vertical-relative:line" coordsize="27858,91">
                <v:shape id="Shape 11503" style="position:absolute;width:27858;height:91;left:0;top:0;" coordsize="2785872,9147" path="m0,4573l2785872,4573">
                  <v:stroke weight="0.720215pt" endcap="flat" joinstyle="miter" miterlimit="1" on="true" color="#000000"/>
                  <v:fill on="false" color="#000000"/>
                </v:shape>
              </v:group>
            </w:pict>
          </mc:Fallback>
        </mc:AlternateContent>
      </w:r>
    </w:p>
    <w:p w14:paraId="610F002D" w14:textId="77777777" w:rsidR="00E1582A" w:rsidRDefault="00EC5EDC">
      <w:pPr>
        <w:spacing w:after="14"/>
        <w:ind w:left="3850" w:right="1584"/>
        <w:rPr>
          <w:rFonts w:ascii="Arial" w:hAnsi="Arial" w:cs="Arial"/>
          <w:sz w:val="24"/>
        </w:rPr>
      </w:pPr>
      <w:r w:rsidRPr="00E1582A">
        <w:rPr>
          <w:rFonts w:ascii="Arial" w:hAnsi="Arial" w:cs="Arial"/>
          <w:sz w:val="24"/>
        </w:rPr>
        <w:t xml:space="preserve">Name &amp; Signature of HMO Actuary </w:t>
      </w:r>
    </w:p>
    <w:p w14:paraId="69DA67F6" w14:textId="7E035634" w:rsidR="00E84B52" w:rsidRPr="00E1582A" w:rsidRDefault="00EC5EDC">
      <w:pPr>
        <w:spacing w:after="14"/>
        <w:ind w:left="3850" w:right="1584"/>
        <w:rPr>
          <w:rFonts w:ascii="Arial" w:hAnsi="Arial" w:cs="Arial"/>
          <w:sz w:val="24"/>
        </w:rPr>
      </w:pPr>
      <w:r w:rsidRPr="00E1582A">
        <w:rPr>
          <w:rFonts w:ascii="Arial" w:hAnsi="Arial" w:cs="Arial"/>
          <w:sz w:val="24"/>
        </w:rPr>
        <w:t xml:space="preserve">Date: </w:t>
      </w:r>
      <w:r w:rsidRPr="00E1582A">
        <w:rPr>
          <w:rFonts w:ascii="Arial" w:hAnsi="Arial" w:cs="Arial"/>
          <w:noProof/>
          <w:sz w:val="24"/>
        </w:rPr>
        <mc:AlternateContent>
          <mc:Choice Requires="wpg">
            <w:drawing>
              <wp:inline distT="0" distB="0" distL="0" distR="0" wp14:anchorId="71B46186" wp14:editId="300E4632">
                <wp:extent cx="2261616" cy="9147"/>
                <wp:effectExtent l="0" t="0" r="0" b="0"/>
                <wp:docPr id="11506" name="Group 11506"/>
                <wp:cNvGraphicFramePr/>
                <a:graphic xmlns:a="http://schemas.openxmlformats.org/drawingml/2006/main">
                  <a:graphicData uri="http://schemas.microsoft.com/office/word/2010/wordprocessingGroup">
                    <wpg:wgp>
                      <wpg:cNvGrpSpPr/>
                      <wpg:grpSpPr>
                        <a:xfrm>
                          <a:off x="0" y="0"/>
                          <a:ext cx="2261616" cy="9147"/>
                          <a:chOff x="0" y="0"/>
                          <a:chExt cx="2261616" cy="9147"/>
                        </a:xfrm>
                      </wpg:grpSpPr>
                      <wps:wsp>
                        <wps:cNvPr id="11505" name="Shape 11505"/>
                        <wps:cNvSpPr/>
                        <wps:spPr>
                          <a:xfrm>
                            <a:off x="0" y="0"/>
                            <a:ext cx="2261616" cy="9147"/>
                          </a:xfrm>
                          <a:custGeom>
                            <a:avLst/>
                            <a:gdLst/>
                            <a:ahLst/>
                            <a:cxnLst/>
                            <a:rect l="0" t="0" r="0" b="0"/>
                            <a:pathLst>
                              <a:path w="2261616" h="9147">
                                <a:moveTo>
                                  <a:pt x="0" y="4573"/>
                                </a:moveTo>
                                <a:lnTo>
                                  <a:pt x="22616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06" style="width:178.08pt;height:0.720215pt;mso-position-horizontal-relative:char;mso-position-vertical-relative:line" coordsize="22616,91">
                <v:shape id="Shape 11505" style="position:absolute;width:22616;height:91;left:0;top:0;" coordsize="2261616,9147" path="m0,4573l2261616,4573">
                  <v:stroke weight="0.720215pt" endcap="flat" joinstyle="miter" miterlimit="1" on="true" color="#000000"/>
                  <v:fill on="false" color="#000000"/>
                </v:shape>
              </v:group>
            </w:pict>
          </mc:Fallback>
        </mc:AlternateContent>
      </w:r>
    </w:p>
    <w:p w14:paraId="22862FBB" w14:textId="77777777" w:rsidR="00E1582A" w:rsidRDefault="00EC5EDC">
      <w:pPr>
        <w:spacing w:after="11" w:line="249" w:lineRule="auto"/>
        <w:ind w:left="3850" w:right="1162" w:firstLine="0"/>
        <w:rPr>
          <w:rFonts w:ascii="Arial" w:hAnsi="Arial" w:cs="Arial"/>
          <w:sz w:val="24"/>
        </w:rPr>
      </w:pPr>
      <w:r w:rsidRPr="00E1582A">
        <w:rPr>
          <w:rFonts w:ascii="Arial" w:hAnsi="Arial" w:cs="Arial"/>
          <w:sz w:val="24"/>
        </w:rPr>
        <w:t xml:space="preserve">IC Accreditation No: </w:t>
      </w:r>
      <w:r w:rsidRPr="00E1582A">
        <w:rPr>
          <w:rFonts w:ascii="Arial" w:hAnsi="Arial" w:cs="Arial"/>
          <w:noProof/>
          <w:sz w:val="24"/>
        </w:rPr>
        <w:drawing>
          <wp:inline distT="0" distB="0" distL="0" distR="0" wp14:anchorId="2EA7B106" wp14:editId="723F0A3E">
            <wp:extent cx="1310640" cy="18293"/>
            <wp:effectExtent l="0" t="0" r="0" b="0"/>
            <wp:docPr id="6054" name="Picture 6054"/>
            <wp:cNvGraphicFramePr/>
            <a:graphic xmlns:a="http://schemas.openxmlformats.org/drawingml/2006/main">
              <a:graphicData uri="http://schemas.openxmlformats.org/drawingml/2006/picture">
                <pic:pic xmlns:pic="http://schemas.openxmlformats.org/drawingml/2006/picture">
                  <pic:nvPicPr>
                    <pic:cNvPr id="6054" name="Picture 6054"/>
                    <pic:cNvPicPr/>
                  </pic:nvPicPr>
                  <pic:blipFill>
                    <a:blip r:embed="rId10"/>
                    <a:stretch>
                      <a:fillRect/>
                    </a:stretch>
                  </pic:blipFill>
                  <pic:spPr>
                    <a:xfrm>
                      <a:off x="0" y="0"/>
                      <a:ext cx="1310640" cy="18293"/>
                    </a:xfrm>
                    <a:prstGeom prst="rect">
                      <a:avLst/>
                    </a:prstGeom>
                  </pic:spPr>
                </pic:pic>
              </a:graphicData>
            </a:graphic>
          </wp:inline>
        </w:drawing>
      </w:r>
    </w:p>
    <w:p w14:paraId="15E1A2BB" w14:textId="62B8045C" w:rsidR="00E84B52" w:rsidRDefault="00EC5EDC" w:rsidP="00E1582A">
      <w:pPr>
        <w:spacing w:after="11" w:line="249" w:lineRule="auto"/>
        <w:ind w:left="3850" w:right="1162" w:firstLine="0"/>
        <w:rPr>
          <w:rFonts w:ascii="Arial" w:hAnsi="Arial" w:cs="Arial"/>
          <w:sz w:val="24"/>
        </w:rPr>
      </w:pPr>
      <w:r w:rsidRPr="00E1582A">
        <w:rPr>
          <w:rFonts w:ascii="Arial" w:hAnsi="Arial" w:cs="Arial"/>
          <w:sz w:val="24"/>
        </w:rPr>
        <w:t>PTR N</w:t>
      </w:r>
      <w:r w:rsidR="00E1582A">
        <w:rPr>
          <w:rFonts w:ascii="Arial" w:hAnsi="Arial" w:cs="Arial"/>
          <w:sz w:val="24"/>
        </w:rPr>
        <w:t xml:space="preserve">o: </w:t>
      </w:r>
      <w:r w:rsidRPr="00E1582A">
        <w:rPr>
          <w:rFonts w:ascii="Arial" w:hAnsi="Arial" w:cs="Arial"/>
          <w:noProof/>
          <w:sz w:val="24"/>
        </w:rPr>
        <mc:AlternateContent>
          <mc:Choice Requires="wpg">
            <w:drawing>
              <wp:inline distT="0" distB="0" distL="0" distR="0" wp14:anchorId="7778EF45" wp14:editId="758028EB">
                <wp:extent cx="2005584" cy="9147"/>
                <wp:effectExtent l="0" t="0" r="0" b="0"/>
                <wp:docPr id="11508" name="Group 11508"/>
                <wp:cNvGraphicFramePr/>
                <a:graphic xmlns:a="http://schemas.openxmlformats.org/drawingml/2006/main">
                  <a:graphicData uri="http://schemas.microsoft.com/office/word/2010/wordprocessingGroup">
                    <wpg:wgp>
                      <wpg:cNvGrpSpPr/>
                      <wpg:grpSpPr>
                        <a:xfrm>
                          <a:off x="0" y="0"/>
                          <a:ext cx="2005584" cy="9147"/>
                          <a:chOff x="0" y="0"/>
                          <a:chExt cx="2005584" cy="9147"/>
                        </a:xfrm>
                      </wpg:grpSpPr>
                      <wps:wsp>
                        <wps:cNvPr id="11507" name="Shape 11507"/>
                        <wps:cNvSpPr/>
                        <wps:spPr>
                          <a:xfrm>
                            <a:off x="0" y="0"/>
                            <a:ext cx="2005584" cy="9147"/>
                          </a:xfrm>
                          <a:custGeom>
                            <a:avLst/>
                            <a:gdLst/>
                            <a:ahLst/>
                            <a:cxnLst/>
                            <a:rect l="0" t="0" r="0" b="0"/>
                            <a:pathLst>
                              <a:path w="2005584" h="9147">
                                <a:moveTo>
                                  <a:pt x="0" y="4573"/>
                                </a:moveTo>
                                <a:lnTo>
                                  <a:pt x="20055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08" style="width:157.92pt;height:0.720215pt;mso-position-horizontal-relative:char;mso-position-vertical-relative:line" coordsize="20055,91">
                <v:shape id="Shape 11507" style="position:absolute;width:20055;height:91;left:0;top:0;" coordsize="2005584,9147" path="m0,4573l2005584,4573">
                  <v:stroke weight="0.720215pt" endcap="flat" joinstyle="miter" miterlimit="1" on="true" color="#000000"/>
                  <v:fill on="false" color="#000000"/>
                </v:shape>
              </v:group>
            </w:pict>
          </mc:Fallback>
        </mc:AlternateContent>
      </w:r>
    </w:p>
    <w:p w14:paraId="58368394" w14:textId="77777777" w:rsidR="00E1582A" w:rsidRDefault="00E1582A" w:rsidP="00E1582A">
      <w:pPr>
        <w:spacing w:after="11" w:line="249" w:lineRule="auto"/>
        <w:ind w:left="3850" w:right="1162" w:firstLine="0"/>
        <w:rPr>
          <w:rFonts w:ascii="Arial" w:hAnsi="Arial" w:cs="Arial"/>
          <w:sz w:val="24"/>
        </w:rPr>
      </w:pPr>
    </w:p>
    <w:p w14:paraId="68C48DF8" w14:textId="77777777" w:rsidR="00E1582A" w:rsidRDefault="00E1582A" w:rsidP="00E1582A">
      <w:pPr>
        <w:spacing w:after="11" w:line="249" w:lineRule="auto"/>
        <w:ind w:left="3850" w:right="1162" w:firstLine="0"/>
        <w:rPr>
          <w:rFonts w:ascii="Arial" w:hAnsi="Arial" w:cs="Arial"/>
          <w:sz w:val="24"/>
        </w:rPr>
      </w:pPr>
    </w:p>
    <w:p w14:paraId="7E0222E9" w14:textId="77777777" w:rsidR="00E1582A" w:rsidRDefault="00E1582A" w:rsidP="00E1582A">
      <w:pPr>
        <w:spacing w:after="11" w:line="249" w:lineRule="auto"/>
        <w:ind w:left="3850" w:right="1162" w:firstLine="0"/>
        <w:rPr>
          <w:rFonts w:ascii="Arial" w:hAnsi="Arial" w:cs="Arial"/>
          <w:sz w:val="24"/>
        </w:rPr>
      </w:pPr>
    </w:p>
    <w:p w14:paraId="77DEB8BF" w14:textId="77777777" w:rsidR="00E1582A" w:rsidRDefault="00E1582A" w:rsidP="00E1582A">
      <w:pPr>
        <w:spacing w:after="11" w:line="249" w:lineRule="auto"/>
        <w:ind w:left="3850" w:right="1162" w:firstLine="0"/>
        <w:rPr>
          <w:rFonts w:ascii="Arial" w:hAnsi="Arial" w:cs="Arial"/>
          <w:sz w:val="24"/>
        </w:rPr>
      </w:pPr>
    </w:p>
    <w:p w14:paraId="7AEBC9AA" w14:textId="77777777" w:rsidR="00E1582A" w:rsidRDefault="00E1582A" w:rsidP="00E1582A">
      <w:pPr>
        <w:spacing w:after="11" w:line="249" w:lineRule="auto"/>
        <w:ind w:left="3850" w:right="1162" w:firstLine="0"/>
        <w:rPr>
          <w:rFonts w:ascii="Arial" w:hAnsi="Arial" w:cs="Arial"/>
          <w:sz w:val="24"/>
        </w:rPr>
      </w:pPr>
    </w:p>
    <w:p w14:paraId="3BC713C4" w14:textId="77777777" w:rsidR="00E1582A" w:rsidRDefault="00E1582A" w:rsidP="00E1582A">
      <w:pPr>
        <w:spacing w:after="11" w:line="249" w:lineRule="auto"/>
        <w:ind w:left="3850" w:right="1162" w:firstLine="0"/>
        <w:rPr>
          <w:rFonts w:ascii="Arial" w:hAnsi="Arial" w:cs="Arial"/>
          <w:sz w:val="24"/>
        </w:rPr>
      </w:pPr>
    </w:p>
    <w:p w14:paraId="542A2C6A" w14:textId="77777777" w:rsidR="00E1582A" w:rsidRPr="00E1582A" w:rsidRDefault="00E1582A" w:rsidP="00E1582A">
      <w:pPr>
        <w:spacing w:after="11" w:line="249" w:lineRule="auto"/>
        <w:ind w:left="3850" w:right="1162" w:firstLine="0"/>
        <w:rPr>
          <w:rFonts w:ascii="Arial" w:hAnsi="Arial" w:cs="Arial"/>
          <w:sz w:val="24"/>
        </w:rPr>
      </w:pPr>
    </w:p>
    <w:p w14:paraId="0C2CAC4A" w14:textId="77777777" w:rsidR="00E84B52" w:rsidRPr="00E1582A" w:rsidRDefault="00EC5EDC">
      <w:pPr>
        <w:pStyle w:val="Heading1"/>
        <w:numPr>
          <w:ilvl w:val="0"/>
          <w:numId w:val="0"/>
        </w:numPr>
        <w:spacing w:after="231"/>
        <w:ind w:left="164" w:right="0"/>
        <w:rPr>
          <w:rFonts w:ascii="Arial" w:hAnsi="Arial" w:cs="Arial"/>
          <w:b/>
          <w:bCs/>
          <w:sz w:val="24"/>
        </w:rPr>
      </w:pPr>
      <w:r w:rsidRPr="00E1582A">
        <w:rPr>
          <w:rFonts w:ascii="Arial" w:hAnsi="Arial" w:cs="Arial"/>
          <w:b/>
          <w:bCs/>
          <w:sz w:val="24"/>
        </w:rPr>
        <w:lastRenderedPageBreak/>
        <w:t>Section G: Certification by the Chief Finance Officer (CFO)</w:t>
      </w:r>
    </w:p>
    <w:p w14:paraId="28DA49E2" w14:textId="77777777" w:rsidR="00E84B52" w:rsidRPr="00E1582A" w:rsidRDefault="00EC5EDC">
      <w:pPr>
        <w:spacing w:after="237" w:line="249" w:lineRule="auto"/>
        <w:ind w:left="154" w:right="86" w:firstLine="0"/>
        <w:rPr>
          <w:rFonts w:ascii="Arial" w:hAnsi="Arial" w:cs="Arial"/>
          <w:sz w:val="24"/>
        </w:rPr>
      </w:pPr>
      <w:r w:rsidRPr="00E1582A">
        <w:rPr>
          <w:rFonts w:ascii="Arial" w:hAnsi="Arial" w:cs="Arial"/>
          <w:sz w:val="24"/>
        </w:rPr>
        <w:t>The CFO shall provide a certification as set out below:</w:t>
      </w:r>
    </w:p>
    <w:p w14:paraId="59512304" w14:textId="77777777" w:rsidR="00E84B52" w:rsidRDefault="00EC5EDC">
      <w:pPr>
        <w:spacing w:after="166"/>
        <w:ind w:left="903" w:right="81"/>
        <w:rPr>
          <w:rFonts w:ascii="Arial" w:hAnsi="Arial" w:cs="Arial"/>
          <w:sz w:val="24"/>
        </w:rPr>
      </w:pPr>
      <w:r w:rsidRPr="00E1582A">
        <w:rPr>
          <w:rFonts w:ascii="Arial" w:hAnsi="Arial" w:cs="Arial"/>
          <w:sz w:val="24"/>
        </w:rPr>
        <w:t>"l hereby certify that the ASO Fund Liabilities as reflected in the Financial Statements are accurate to the best of my knowledge and are in accordance with the Valuation Standards prescribed by the Insurance Commission. I further certify that a negative ASO Fund Liability of an ASO Account was not used to reduce the Aggregate ASO Fund Liabilities but was transferred to Due from ASO Account."</w:t>
      </w:r>
    </w:p>
    <w:p w14:paraId="0CE06B84" w14:textId="77777777" w:rsidR="00EC5EDC" w:rsidRPr="00E1582A" w:rsidRDefault="00EC5EDC">
      <w:pPr>
        <w:spacing w:after="166"/>
        <w:ind w:left="903" w:right="81"/>
        <w:rPr>
          <w:rFonts w:ascii="Arial" w:hAnsi="Arial" w:cs="Arial"/>
          <w:sz w:val="24"/>
        </w:rPr>
      </w:pPr>
    </w:p>
    <w:p w14:paraId="18B927F9" w14:textId="77777777" w:rsidR="00E84B52" w:rsidRPr="00E1582A" w:rsidRDefault="00EC5EDC">
      <w:pPr>
        <w:spacing w:after="30" w:line="259" w:lineRule="auto"/>
        <w:ind w:left="1637" w:firstLine="0"/>
        <w:jc w:val="left"/>
        <w:rPr>
          <w:rFonts w:ascii="Arial" w:hAnsi="Arial" w:cs="Arial"/>
          <w:sz w:val="24"/>
        </w:rPr>
      </w:pPr>
      <w:r w:rsidRPr="00E1582A">
        <w:rPr>
          <w:rFonts w:ascii="Arial" w:hAnsi="Arial" w:cs="Arial"/>
          <w:noProof/>
          <w:sz w:val="24"/>
        </w:rPr>
        <mc:AlternateContent>
          <mc:Choice Requires="wpg">
            <w:drawing>
              <wp:inline distT="0" distB="0" distL="0" distR="0" wp14:anchorId="50AEAD24" wp14:editId="58351BF6">
                <wp:extent cx="3831336" cy="9147"/>
                <wp:effectExtent l="0" t="0" r="0" b="0"/>
                <wp:docPr id="11510" name="Group 11510"/>
                <wp:cNvGraphicFramePr/>
                <a:graphic xmlns:a="http://schemas.openxmlformats.org/drawingml/2006/main">
                  <a:graphicData uri="http://schemas.microsoft.com/office/word/2010/wordprocessingGroup">
                    <wpg:wgp>
                      <wpg:cNvGrpSpPr/>
                      <wpg:grpSpPr>
                        <a:xfrm>
                          <a:off x="0" y="0"/>
                          <a:ext cx="3831336" cy="9147"/>
                          <a:chOff x="0" y="0"/>
                          <a:chExt cx="3831336" cy="9147"/>
                        </a:xfrm>
                      </wpg:grpSpPr>
                      <wps:wsp>
                        <wps:cNvPr id="11509" name="Shape 11509"/>
                        <wps:cNvSpPr/>
                        <wps:spPr>
                          <a:xfrm>
                            <a:off x="0" y="0"/>
                            <a:ext cx="3831336" cy="9147"/>
                          </a:xfrm>
                          <a:custGeom>
                            <a:avLst/>
                            <a:gdLst/>
                            <a:ahLst/>
                            <a:cxnLst/>
                            <a:rect l="0" t="0" r="0" b="0"/>
                            <a:pathLst>
                              <a:path w="3831336" h="9147">
                                <a:moveTo>
                                  <a:pt x="0" y="4573"/>
                                </a:moveTo>
                                <a:lnTo>
                                  <a:pt x="383133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10" style="width:301.68pt;height:0.720215pt;mso-position-horizontal-relative:char;mso-position-vertical-relative:line" coordsize="38313,91">
                <v:shape id="Shape 11509" style="position:absolute;width:38313;height:91;left:0;top:0;" coordsize="3831336,9147" path="m0,4573l3831336,4573">
                  <v:stroke weight="0.720215pt" endcap="flat" joinstyle="miter" miterlimit="1" on="true" color="#000000"/>
                  <v:fill on="false" color="#000000"/>
                </v:shape>
              </v:group>
            </w:pict>
          </mc:Fallback>
        </mc:AlternateContent>
      </w:r>
    </w:p>
    <w:p w14:paraId="0C2EF5BB" w14:textId="77777777" w:rsidR="00EC5EDC" w:rsidRDefault="00EC5EDC">
      <w:pPr>
        <w:spacing w:after="6"/>
        <w:ind w:left="2400" w:right="2822"/>
        <w:rPr>
          <w:rFonts w:ascii="Arial" w:hAnsi="Arial" w:cs="Arial"/>
          <w:sz w:val="24"/>
        </w:rPr>
      </w:pPr>
      <w:r w:rsidRPr="00E1582A">
        <w:rPr>
          <w:rFonts w:ascii="Arial" w:hAnsi="Arial" w:cs="Arial"/>
          <w:sz w:val="24"/>
        </w:rPr>
        <w:t xml:space="preserve">Signature over Printed Name of CFO </w:t>
      </w:r>
    </w:p>
    <w:p w14:paraId="123F34EE" w14:textId="5CCEFF8F" w:rsidR="00E84B52" w:rsidRPr="00E1582A" w:rsidRDefault="00EC5EDC">
      <w:pPr>
        <w:spacing w:after="6"/>
        <w:ind w:left="2400" w:right="2822"/>
        <w:rPr>
          <w:rFonts w:ascii="Arial" w:hAnsi="Arial" w:cs="Arial"/>
          <w:sz w:val="24"/>
        </w:rPr>
      </w:pPr>
      <w:r w:rsidRPr="00E1582A">
        <w:rPr>
          <w:rFonts w:ascii="Arial" w:hAnsi="Arial" w:cs="Arial"/>
          <w:sz w:val="24"/>
        </w:rPr>
        <w:t xml:space="preserve">Date: </w:t>
      </w:r>
      <w:r w:rsidRPr="00E1582A">
        <w:rPr>
          <w:rFonts w:ascii="Arial" w:hAnsi="Arial" w:cs="Arial"/>
          <w:noProof/>
          <w:sz w:val="24"/>
        </w:rPr>
        <w:drawing>
          <wp:inline distT="0" distB="0" distL="0" distR="0" wp14:anchorId="087E9D10" wp14:editId="7C5C297A">
            <wp:extent cx="1048512" cy="15245"/>
            <wp:effectExtent l="0" t="0" r="0" b="0"/>
            <wp:docPr id="6057" name="Picture 6057"/>
            <wp:cNvGraphicFramePr/>
            <a:graphic xmlns:a="http://schemas.openxmlformats.org/drawingml/2006/main">
              <a:graphicData uri="http://schemas.openxmlformats.org/drawingml/2006/picture">
                <pic:pic xmlns:pic="http://schemas.openxmlformats.org/drawingml/2006/picture">
                  <pic:nvPicPr>
                    <pic:cNvPr id="6057" name="Picture 6057"/>
                    <pic:cNvPicPr/>
                  </pic:nvPicPr>
                  <pic:blipFill>
                    <a:blip r:embed="rId11"/>
                    <a:stretch>
                      <a:fillRect/>
                    </a:stretch>
                  </pic:blipFill>
                  <pic:spPr>
                    <a:xfrm>
                      <a:off x="0" y="0"/>
                      <a:ext cx="1048512" cy="15245"/>
                    </a:xfrm>
                    <a:prstGeom prst="rect">
                      <a:avLst/>
                    </a:prstGeom>
                  </pic:spPr>
                </pic:pic>
              </a:graphicData>
            </a:graphic>
          </wp:inline>
        </w:drawing>
      </w:r>
    </w:p>
    <w:p w14:paraId="7468F0C7" w14:textId="6B29DA24" w:rsidR="00E84B52" w:rsidRDefault="00EC5EDC" w:rsidP="00EC5EDC">
      <w:pPr>
        <w:spacing w:after="11" w:line="249" w:lineRule="auto"/>
        <w:ind w:left="2405" w:right="86" w:firstLine="0"/>
        <w:rPr>
          <w:rFonts w:ascii="Arial" w:hAnsi="Arial" w:cs="Arial"/>
          <w:sz w:val="24"/>
        </w:rPr>
      </w:pPr>
      <w:r w:rsidRPr="00E1582A">
        <w:rPr>
          <w:rFonts w:ascii="Arial" w:hAnsi="Arial" w:cs="Arial"/>
          <w:sz w:val="24"/>
        </w:rPr>
        <w:t>PTR N</w:t>
      </w:r>
      <w:r>
        <w:rPr>
          <w:rFonts w:ascii="Arial" w:hAnsi="Arial" w:cs="Arial"/>
          <w:sz w:val="24"/>
        </w:rPr>
        <w:t>o</w:t>
      </w:r>
      <w:r w:rsidRPr="00E1582A">
        <w:rPr>
          <w:rFonts w:ascii="Arial" w:hAnsi="Arial" w:cs="Arial"/>
          <w:sz w:val="24"/>
        </w:rPr>
        <w:t>.</w:t>
      </w:r>
      <w:r>
        <w:rPr>
          <w:rFonts w:ascii="Arial" w:hAnsi="Arial" w:cs="Arial"/>
          <w:sz w:val="24"/>
        </w:rPr>
        <w:t xml:space="preserve">: </w:t>
      </w:r>
      <w:r w:rsidRPr="00E1582A">
        <w:rPr>
          <w:rFonts w:ascii="Arial" w:hAnsi="Arial" w:cs="Arial"/>
          <w:noProof/>
          <w:sz w:val="24"/>
        </w:rPr>
        <w:drawing>
          <wp:inline distT="0" distB="0" distL="0" distR="0" wp14:anchorId="76B03623" wp14:editId="6119D0A1">
            <wp:extent cx="1307592" cy="18294"/>
            <wp:effectExtent l="0" t="0" r="0" b="0"/>
            <wp:docPr id="6058" name="Picture 6058"/>
            <wp:cNvGraphicFramePr/>
            <a:graphic xmlns:a="http://schemas.openxmlformats.org/drawingml/2006/main">
              <a:graphicData uri="http://schemas.openxmlformats.org/drawingml/2006/picture">
                <pic:pic xmlns:pic="http://schemas.openxmlformats.org/drawingml/2006/picture">
                  <pic:nvPicPr>
                    <pic:cNvPr id="6058" name="Picture 6058"/>
                    <pic:cNvPicPr/>
                  </pic:nvPicPr>
                  <pic:blipFill>
                    <a:blip r:embed="rId12"/>
                    <a:stretch>
                      <a:fillRect/>
                    </a:stretch>
                  </pic:blipFill>
                  <pic:spPr>
                    <a:xfrm>
                      <a:off x="0" y="0"/>
                      <a:ext cx="1307592" cy="18294"/>
                    </a:xfrm>
                    <a:prstGeom prst="rect">
                      <a:avLst/>
                    </a:prstGeom>
                  </pic:spPr>
                </pic:pic>
              </a:graphicData>
            </a:graphic>
          </wp:inline>
        </w:drawing>
      </w:r>
    </w:p>
    <w:p w14:paraId="5798E4AF" w14:textId="77777777" w:rsidR="00EC5EDC" w:rsidRDefault="00EC5EDC" w:rsidP="00EC5EDC">
      <w:pPr>
        <w:spacing w:after="11" w:line="249" w:lineRule="auto"/>
        <w:ind w:left="2405" w:right="86" w:firstLine="0"/>
        <w:rPr>
          <w:rFonts w:ascii="Arial" w:hAnsi="Arial" w:cs="Arial"/>
          <w:sz w:val="24"/>
        </w:rPr>
      </w:pPr>
    </w:p>
    <w:p w14:paraId="09A1F21F" w14:textId="77777777" w:rsidR="00EC5EDC" w:rsidRPr="00E1582A" w:rsidRDefault="00EC5EDC" w:rsidP="00EC5EDC">
      <w:pPr>
        <w:spacing w:after="11" w:line="249" w:lineRule="auto"/>
        <w:ind w:left="2405" w:right="86" w:firstLine="0"/>
        <w:rPr>
          <w:rFonts w:ascii="Arial" w:hAnsi="Arial" w:cs="Arial"/>
          <w:sz w:val="24"/>
        </w:rPr>
      </w:pPr>
    </w:p>
    <w:p w14:paraId="78E9EE7C" w14:textId="77777777" w:rsidR="00E84B52" w:rsidRPr="00EC5EDC" w:rsidRDefault="00EC5EDC">
      <w:pPr>
        <w:pStyle w:val="Heading1"/>
        <w:numPr>
          <w:ilvl w:val="0"/>
          <w:numId w:val="0"/>
        </w:numPr>
        <w:spacing w:after="238"/>
        <w:ind w:left="197" w:right="0"/>
        <w:rPr>
          <w:rFonts w:ascii="Arial" w:hAnsi="Arial" w:cs="Arial"/>
          <w:b/>
          <w:bCs/>
          <w:sz w:val="24"/>
        </w:rPr>
      </w:pPr>
      <w:r w:rsidRPr="00EC5EDC">
        <w:rPr>
          <w:rFonts w:ascii="Arial" w:hAnsi="Arial" w:cs="Arial"/>
          <w:b/>
          <w:bCs/>
          <w:sz w:val="24"/>
        </w:rPr>
        <w:t>Section H: Certification by the CEO or Responsible Officer</w:t>
      </w:r>
    </w:p>
    <w:p w14:paraId="416F1657" w14:textId="77777777" w:rsidR="00E84B52" w:rsidRPr="00E1582A" w:rsidRDefault="00EC5EDC">
      <w:pPr>
        <w:spacing w:after="285" w:line="249" w:lineRule="auto"/>
        <w:ind w:left="182" w:right="86" w:firstLine="0"/>
        <w:rPr>
          <w:rFonts w:ascii="Arial" w:hAnsi="Arial" w:cs="Arial"/>
          <w:sz w:val="24"/>
        </w:rPr>
      </w:pPr>
      <w:r w:rsidRPr="00E1582A">
        <w:rPr>
          <w:rFonts w:ascii="Arial" w:hAnsi="Arial" w:cs="Arial"/>
          <w:sz w:val="24"/>
        </w:rPr>
        <w:t>The CEO/Responsible Officer shall provide the following certification:</w:t>
      </w:r>
    </w:p>
    <w:p w14:paraId="5DB8D4DB" w14:textId="77777777" w:rsidR="00E84B52" w:rsidRPr="00E1582A" w:rsidRDefault="00EC5EDC">
      <w:pPr>
        <w:spacing w:after="179" w:line="249" w:lineRule="auto"/>
        <w:ind w:left="936" w:firstLine="0"/>
        <w:rPr>
          <w:rFonts w:ascii="Arial" w:hAnsi="Arial" w:cs="Arial"/>
          <w:sz w:val="24"/>
        </w:rPr>
      </w:pPr>
      <w:r w:rsidRPr="00E1582A">
        <w:rPr>
          <w:rFonts w:ascii="Arial" w:hAnsi="Arial" w:cs="Arial"/>
          <w:sz w:val="24"/>
        </w:rPr>
        <w:t xml:space="preserve">"l hereby certify that the database is properly </w:t>
      </w:r>
      <w:proofErr w:type="gramStart"/>
      <w:r w:rsidRPr="00E1582A">
        <w:rPr>
          <w:rFonts w:ascii="Arial" w:hAnsi="Arial" w:cs="Arial"/>
          <w:sz w:val="24"/>
        </w:rPr>
        <w:t>maintained</w:t>
      </w:r>
      <w:proofErr w:type="gramEnd"/>
      <w:r w:rsidRPr="00E1582A">
        <w:rPr>
          <w:rFonts w:ascii="Arial" w:hAnsi="Arial" w:cs="Arial"/>
          <w:sz w:val="24"/>
        </w:rPr>
        <w:t xml:space="preserve"> and I have satisfied myself that the data provided to the certifying Actuary are accurate and complete."</w:t>
      </w:r>
    </w:p>
    <w:p w14:paraId="16CAB9D1" w14:textId="77777777" w:rsidR="00E84B52" w:rsidRPr="00E1582A" w:rsidRDefault="00EC5EDC">
      <w:pPr>
        <w:spacing w:after="30" w:line="259" w:lineRule="auto"/>
        <w:ind w:left="1666" w:firstLine="0"/>
        <w:jc w:val="left"/>
        <w:rPr>
          <w:rFonts w:ascii="Arial" w:hAnsi="Arial" w:cs="Arial"/>
          <w:sz w:val="24"/>
        </w:rPr>
      </w:pPr>
      <w:r w:rsidRPr="00E1582A">
        <w:rPr>
          <w:rFonts w:ascii="Arial" w:hAnsi="Arial" w:cs="Arial"/>
          <w:noProof/>
          <w:sz w:val="24"/>
        </w:rPr>
        <mc:AlternateContent>
          <mc:Choice Requires="wpg">
            <w:drawing>
              <wp:inline distT="0" distB="0" distL="0" distR="0" wp14:anchorId="36658A54" wp14:editId="70788A2F">
                <wp:extent cx="3831336" cy="9147"/>
                <wp:effectExtent l="0" t="0" r="0" b="0"/>
                <wp:docPr id="11512" name="Group 11512"/>
                <wp:cNvGraphicFramePr/>
                <a:graphic xmlns:a="http://schemas.openxmlformats.org/drawingml/2006/main">
                  <a:graphicData uri="http://schemas.microsoft.com/office/word/2010/wordprocessingGroup">
                    <wpg:wgp>
                      <wpg:cNvGrpSpPr/>
                      <wpg:grpSpPr>
                        <a:xfrm>
                          <a:off x="0" y="0"/>
                          <a:ext cx="3831336" cy="9147"/>
                          <a:chOff x="0" y="0"/>
                          <a:chExt cx="3831336" cy="9147"/>
                        </a:xfrm>
                      </wpg:grpSpPr>
                      <wps:wsp>
                        <wps:cNvPr id="11511" name="Shape 11511"/>
                        <wps:cNvSpPr/>
                        <wps:spPr>
                          <a:xfrm>
                            <a:off x="0" y="0"/>
                            <a:ext cx="3831336" cy="9147"/>
                          </a:xfrm>
                          <a:custGeom>
                            <a:avLst/>
                            <a:gdLst/>
                            <a:ahLst/>
                            <a:cxnLst/>
                            <a:rect l="0" t="0" r="0" b="0"/>
                            <a:pathLst>
                              <a:path w="3831336" h="9147">
                                <a:moveTo>
                                  <a:pt x="0" y="4573"/>
                                </a:moveTo>
                                <a:lnTo>
                                  <a:pt x="383133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12" style="width:301.68pt;height:0.720215pt;mso-position-horizontal-relative:char;mso-position-vertical-relative:line" coordsize="38313,91">
                <v:shape id="Shape 11511" style="position:absolute;width:38313;height:91;left:0;top:0;" coordsize="3831336,9147" path="m0,4573l3831336,4573">
                  <v:stroke weight="0.720215pt" endcap="flat" joinstyle="miter" miterlimit="1" on="true" color="#000000"/>
                  <v:fill on="false" color="#000000"/>
                </v:shape>
              </v:group>
            </w:pict>
          </mc:Fallback>
        </mc:AlternateContent>
      </w:r>
    </w:p>
    <w:p w14:paraId="7A473BBF" w14:textId="77777777" w:rsidR="00E84B52" w:rsidRPr="00E1582A" w:rsidRDefault="00EC5EDC">
      <w:pPr>
        <w:spacing w:after="38"/>
        <w:ind w:left="2429" w:right="81"/>
        <w:rPr>
          <w:rFonts w:ascii="Arial" w:hAnsi="Arial" w:cs="Arial"/>
          <w:sz w:val="24"/>
        </w:rPr>
      </w:pPr>
      <w:r w:rsidRPr="00E1582A">
        <w:rPr>
          <w:rFonts w:ascii="Arial" w:hAnsi="Arial" w:cs="Arial"/>
          <w:sz w:val="24"/>
        </w:rPr>
        <w:t>Signature over Printed Name of</w:t>
      </w:r>
    </w:p>
    <w:p w14:paraId="19CC10C4" w14:textId="77777777" w:rsidR="00E84B52" w:rsidRPr="00E1582A" w:rsidRDefault="00EC5EDC">
      <w:pPr>
        <w:ind w:left="2434" w:right="81"/>
        <w:rPr>
          <w:rFonts w:ascii="Arial" w:hAnsi="Arial" w:cs="Arial"/>
          <w:sz w:val="24"/>
        </w:rPr>
      </w:pPr>
      <w:r w:rsidRPr="00E1582A">
        <w:rPr>
          <w:rFonts w:ascii="Arial" w:hAnsi="Arial" w:cs="Arial"/>
          <w:sz w:val="24"/>
        </w:rPr>
        <w:t>Chief Executive Officer/Responsible Officer</w:t>
      </w:r>
    </w:p>
    <w:p w14:paraId="44ABE4C7" w14:textId="77777777" w:rsidR="00E84B52" w:rsidRPr="00E1582A" w:rsidRDefault="00EC5EDC">
      <w:pPr>
        <w:ind w:left="2439" w:right="81"/>
        <w:rPr>
          <w:rFonts w:ascii="Arial" w:hAnsi="Arial" w:cs="Arial"/>
          <w:sz w:val="24"/>
        </w:rPr>
      </w:pPr>
      <w:r w:rsidRPr="00E1582A">
        <w:rPr>
          <w:rFonts w:ascii="Arial" w:hAnsi="Arial" w:cs="Arial"/>
          <w:sz w:val="24"/>
        </w:rPr>
        <w:t xml:space="preserve">Date: </w:t>
      </w:r>
      <w:r w:rsidRPr="00E1582A">
        <w:rPr>
          <w:rFonts w:ascii="Arial" w:hAnsi="Arial" w:cs="Arial"/>
          <w:noProof/>
          <w:sz w:val="24"/>
        </w:rPr>
        <w:drawing>
          <wp:inline distT="0" distB="0" distL="0" distR="0" wp14:anchorId="5B5A2CD3" wp14:editId="2D768F51">
            <wp:extent cx="1048512" cy="18293"/>
            <wp:effectExtent l="0" t="0" r="0" b="0"/>
            <wp:docPr id="6060" name="Picture 6060"/>
            <wp:cNvGraphicFramePr/>
            <a:graphic xmlns:a="http://schemas.openxmlformats.org/drawingml/2006/main">
              <a:graphicData uri="http://schemas.openxmlformats.org/drawingml/2006/picture">
                <pic:pic xmlns:pic="http://schemas.openxmlformats.org/drawingml/2006/picture">
                  <pic:nvPicPr>
                    <pic:cNvPr id="6060" name="Picture 6060"/>
                    <pic:cNvPicPr/>
                  </pic:nvPicPr>
                  <pic:blipFill>
                    <a:blip r:embed="rId13"/>
                    <a:stretch>
                      <a:fillRect/>
                    </a:stretch>
                  </pic:blipFill>
                  <pic:spPr>
                    <a:xfrm>
                      <a:off x="0" y="0"/>
                      <a:ext cx="1048512" cy="18293"/>
                    </a:xfrm>
                    <a:prstGeom prst="rect">
                      <a:avLst/>
                    </a:prstGeom>
                  </pic:spPr>
                </pic:pic>
              </a:graphicData>
            </a:graphic>
          </wp:inline>
        </w:drawing>
      </w:r>
    </w:p>
    <w:sectPr w:rsidR="00E84B52" w:rsidRPr="00E1582A">
      <w:footerReference w:type="even" r:id="rId14"/>
      <w:footerReference w:type="default" r:id="rId15"/>
      <w:footerReference w:type="first" r:id="rId16"/>
      <w:pgSz w:w="12240" w:h="15840"/>
      <w:pgMar w:top="1922" w:right="850" w:bottom="240" w:left="1613" w:header="72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7FD8" w14:textId="77777777" w:rsidR="00EC5EDC" w:rsidRDefault="00EC5EDC">
      <w:pPr>
        <w:spacing w:after="0" w:line="240" w:lineRule="auto"/>
      </w:pPr>
      <w:r>
        <w:separator/>
      </w:r>
    </w:p>
  </w:endnote>
  <w:endnote w:type="continuationSeparator" w:id="0">
    <w:p w14:paraId="4B8BB34A" w14:textId="77777777" w:rsidR="00EC5EDC" w:rsidRDefault="00EC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24B8" w14:textId="77777777" w:rsidR="00E84B52" w:rsidRDefault="00EC5EDC">
    <w:pPr>
      <w:spacing w:after="0" w:line="259" w:lineRule="auto"/>
      <w:ind w:left="29"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6C0B" w14:textId="77777777" w:rsidR="00E84B52" w:rsidRDefault="00EC5EDC">
    <w:pPr>
      <w:spacing w:after="0" w:line="259" w:lineRule="auto"/>
      <w:ind w:left="29"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F98" w14:textId="77777777" w:rsidR="00E84B52" w:rsidRDefault="00EC5EDC">
    <w:pPr>
      <w:spacing w:after="0" w:line="259" w:lineRule="auto"/>
      <w:ind w:left="29"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1EAA" w14:textId="77777777" w:rsidR="00EC5EDC" w:rsidRDefault="00EC5EDC">
      <w:pPr>
        <w:spacing w:after="0" w:line="240" w:lineRule="auto"/>
      </w:pPr>
      <w:r>
        <w:separator/>
      </w:r>
    </w:p>
  </w:footnote>
  <w:footnote w:type="continuationSeparator" w:id="0">
    <w:p w14:paraId="4A9549AA" w14:textId="77777777" w:rsidR="00EC5EDC" w:rsidRDefault="00EC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D18"/>
    <w:multiLevelType w:val="hybridMultilevel"/>
    <w:tmpl w:val="658658E2"/>
    <w:lvl w:ilvl="0" w:tplc="5D4C9A82">
      <w:start w:val="1"/>
      <w:numFmt w:val="decimal"/>
      <w:lvlText w:val="%1."/>
      <w:lvlJc w:val="left"/>
      <w:pPr>
        <w:ind w:left="80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AA895B6">
      <w:start w:val="1"/>
      <w:numFmt w:val="lowerLetter"/>
      <w:lvlText w:val="%2"/>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B69F2C">
      <w:start w:val="1"/>
      <w:numFmt w:val="lowerRoman"/>
      <w:lvlText w:val="%3"/>
      <w:lvlJc w:val="left"/>
      <w:pPr>
        <w:ind w:left="21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1B83C46">
      <w:start w:val="1"/>
      <w:numFmt w:val="decimal"/>
      <w:lvlText w:val="%4"/>
      <w:lvlJc w:val="left"/>
      <w:pPr>
        <w:ind w:left="29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9225DC">
      <w:start w:val="1"/>
      <w:numFmt w:val="lowerLetter"/>
      <w:lvlText w:val="%5"/>
      <w:lvlJc w:val="left"/>
      <w:pPr>
        <w:ind w:left="3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F04570">
      <w:start w:val="1"/>
      <w:numFmt w:val="lowerRoman"/>
      <w:lvlText w:val="%6"/>
      <w:lvlJc w:val="left"/>
      <w:pPr>
        <w:ind w:left="4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04CD76">
      <w:start w:val="1"/>
      <w:numFmt w:val="decimal"/>
      <w:lvlText w:val="%7"/>
      <w:lvlJc w:val="left"/>
      <w:pPr>
        <w:ind w:left="50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A67540">
      <w:start w:val="1"/>
      <w:numFmt w:val="lowerLetter"/>
      <w:lvlText w:val="%8"/>
      <w:lvlJc w:val="left"/>
      <w:pPr>
        <w:ind w:left="5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8EFF88">
      <w:start w:val="1"/>
      <w:numFmt w:val="lowerRoman"/>
      <w:lvlText w:val="%9"/>
      <w:lvlJc w:val="left"/>
      <w:pPr>
        <w:ind w:left="6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F2340F"/>
    <w:multiLevelType w:val="hybridMultilevel"/>
    <w:tmpl w:val="BC8827C8"/>
    <w:lvl w:ilvl="0" w:tplc="FFFFFFFF">
      <w:start w:val="1"/>
      <w:numFmt w:val="decimal"/>
      <w:lvlText w:val="%1."/>
      <w:lvlJc w:val="left"/>
      <w:pPr>
        <w:ind w:left="826"/>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29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36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43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51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58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65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EA86B2F"/>
    <w:multiLevelType w:val="hybridMultilevel"/>
    <w:tmpl w:val="75F83D5A"/>
    <w:lvl w:ilvl="0" w:tplc="33661D48">
      <w:start w:val="4"/>
      <w:numFmt w:val="lowerLetter"/>
      <w:lvlText w:val="%1."/>
      <w:lvlJc w:val="left"/>
      <w:pPr>
        <w:ind w:left="1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C07034">
      <w:start w:val="1"/>
      <w:numFmt w:val="lowerLetter"/>
      <w:lvlText w:val="%2"/>
      <w:lvlJc w:val="left"/>
      <w:pPr>
        <w:ind w:left="2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C9126">
      <w:start w:val="1"/>
      <w:numFmt w:val="lowerRoman"/>
      <w:lvlText w:val="%3"/>
      <w:lvlJc w:val="left"/>
      <w:pPr>
        <w:ind w:left="2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44739A">
      <w:start w:val="1"/>
      <w:numFmt w:val="decimal"/>
      <w:lvlText w:val="%4"/>
      <w:lvlJc w:val="left"/>
      <w:pPr>
        <w:ind w:left="3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36D72A">
      <w:start w:val="1"/>
      <w:numFmt w:val="lowerLetter"/>
      <w:lvlText w:val="%5"/>
      <w:lvlJc w:val="left"/>
      <w:pPr>
        <w:ind w:left="4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F0BEC0">
      <w:start w:val="1"/>
      <w:numFmt w:val="lowerRoman"/>
      <w:lvlText w:val="%6"/>
      <w:lvlJc w:val="left"/>
      <w:pPr>
        <w:ind w:left="5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24400C">
      <w:start w:val="1"/>
      <w:numFmt w:val="decimal"/>
      <w:lvlText w:val="%7"/>
      <w:lvlJc w:val="left"/>
      <w:pPr>
        <w:ind w:left="5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624E90">
      <w:start w:val="1"/>
      <w:numFmt w:val="lowerLetter"/>
      <w:lvlText w:val="%8"/>
      <w:lvlJc w:val="left"/>
      <w:pPr>
        <w:ind w:left="6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B68082">
      <w:start w:val="1"/>
      <w:numFmt w:val="lowerRoman"/>
      <w:lvlText w:val="%9"/>
      <w:lvlJc w:val="left"/>
      <w:pPr>
        <w:ind w:left="7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7745BC"/>
    <w:multiLevelType w:val="hybridMultilevel"/>
    <w:tmpl w:val="DBF28452"/>
    <w:lvl w:ilvl="0" w:tplc="D22A29FE">
      <w:start w:val="2"/>
      <w:numFmt w:val="decimal"/>
      <w:lvlText w:val="%1."/>
      <w:lvlJc w:val="left"/>
      <w:pPr>
        <w:ind w:left="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04ECC96">
      <w:start w:val="1"/>
      <w:numFmt w:val="lowerLetter"/>
      <w:lvlText w:val="%2"/>
      <w:lvlJc w:val="left"/>
      <w:pPr>
        <w:ind w:left="14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E163440">
      <w:start w:val="1"/>
      <w:numFmt w:val="lowerRoman"/>
      <w:lvlText w:val="%3"/>
      <w:lvlJc w:val="left"/>
      <w:pPr>
        <w:ind w:left="22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8A3E24">
      <w:start w:val="1"/>
      <w:numFmt w:val="decimal"/>
      <w:lvlText w:val="%4"/>
      <w:lvlJc w:val="left"/>
      <w:pPr>
        <w:ind w:left="29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CE9B12">
      <w:start w:val="1"/>
      <w:numFmt w:val="lowerLetter"/>
      <w:lvlText w:val="%5"/>
      <w:lvlJc w:val="left"/>
      <w:pPr>
        <w:ind w:left="3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AFED8D2">
      <w:start w:val="1"/>
      <w:numFmt w:val="lowerRoman"/>
      <w:lvlText w:val="%6"/>
      <w:lvlJc w:val="left"/>
      <w:pPr>
        <w:ind w:left="4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1A041C4">
      <w:start w:val="1"/>
      <w:numFmt w:val="decimal"/>
      <w:lvlText w:val="%7"/>
      <w:lvlJc w:val="left"/>
      <w:pPr>
        <w:ind w:left="5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C72D32E">
      <w:start w:val="1"/>
      <w:numFmt w:val="lowerLetter"/>
      <w:lvlText w:val="%8"/>
      <w:lvlJc w:val="left"/>
      <w:pPr>
        <w:ind w:left="5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294BA0A">
      <w:start w:val="1"/>
      <w:numFmt w:val="lowerRoman"/>
      <w:lvlText w:val="%9"/>
      <w:lvlJc w:val="left"/>
      <w:pPr>
        <w:ind w:left="6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C7330BF"/>
    <w:multiLevelType w:val="hybridMultilevel"/>
    <w:tmpl w:val="BC8827C8"/>
    <w:lvl w:ilvl="0" w:tplc="FFFFFFFF">
      <w:start w:val="1"/>
      <w:numFmt w:val="decimal"/>
      <w:lvlText w:val="%1."/>
      <w:lvlJc w:val="left"/>
      <w:pPr>
        <w:ind w:left="826"/>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29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36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43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51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58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65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0B3230B"/>
    <w:multiLevelType w:val="hybridMultilevel"/>
    <w:tmpl w:val="BC8827C8"/>
    <w:lvl w:ilvl="0" w:tplc="FFFFFFFF">
      <w:start w:val="1"/>
      <w:numFmt w:val="decimal"/>
      <w:lvlText w:val="%1."/>
      <w:lvlJc w:val="left"/>
      <w:pPr>
        <w:ind w:left="826"/>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29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36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43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51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58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65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D850334"/>
    <w:multiLevelType w:val="hybridMultilevel"/>
    <w:tmpl w:val="BC8827C8"/>
    <w:lvl w:ilvl="0" w:tplc="924266B8">
      <w:start w:val="1"/>
      <w:numFmt w:val="decimal"/>
      <w:lvlText w:val="%1."/>
      <w:lvlJc w:val="left"/>
      <w:pPr>
        <w:ind w:left="826"/>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B3DA447C">
      <w:start w:val="1"/>
      <w:numFmt w:val="lowerLetter"/>
      <w:lvlText w:val="%2."/>
      <w:lvlJc w:val="left"/>
      <w:pPr>
        <w:ind w:left="15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86AA8692">
      <w:start w:val="1"/>
      <w:numFmt w:val="lowerRoman"/>
      <w:lvlText w:val="%3"/>
      <w:lvlJc w:val="left"/>
      <w:pPr>
        <w:ind w:left="22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4020DF2">
      <w:start w:val="1"/>
      <w:numFmt w:val="decimal"/>
      <w:lvlText w:val="%4"/>
      <w:lvlJc w:val="left"/>
      <w:pPr>
        <w:ind w:left="29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D1061DE">
      <w:start w:val="1"/>
      <w:numFmt w:val="lowerLetter"/>
      <w:lvlText w:val="%5"/>
      <w:lvlJc w:val="left"/>
      <w:pPr>
        <w:ind w:left="36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0FCED2C">
      <w:start w:val="1"/>
      <w:numFmt w:val="lowerRoman"/>
      <w:lvlText w:val="%6"/>
      <w:lvlJc w:val="left"/>
      <w:pPr>
        <w:ind w:left="43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68E97E2">
      <w:start w:val="1"/>
      <w:numFmt w:val="decimal"/>
      <w:lvlText w:val="%7"/>
      <w:lvlJc w:val="left"/>
      <w:pPr>
        <w:ind w:left="51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BBE26AE">
      <w:start w:val="1"/>
      <w:numFmt w:val="lowerLetter"/>
      <w:lvlText w:val="%8"/>
      <w:lvlJc w:val="left"/>
      <w:pPr>
        <w:ind w:left="58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1969512">
      <w:start w:val="1"/>
      <w:numFmt w:val="lowerRoman"/>
      <w:lvlText w:val="%9"/>
      <w:lvlJc w:val="left"/>
      <w:pPr>
        <w:ind w:left="65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DB35AD8"/>
    <w:multiLevelType w:val="hybridMultilevel"/>
    <w:tmpl w:val="9CD8B41E"/>
    <w:lvl w:ilvl="0" w:tplc="5BC60EF4">
      <w:start w:val="1"/>
      <w:numFmt w:val="decimal"/>
      <w:lvlText w:val="%1."/>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98CB7A">
      <w:start w:val="1"/>
      <w:numFmt w:val="lowerLetter"/>
      <w:lvlText w:val="%2"/>
      <w:lvlJc w:val="left"/>
      <w:pPr>
        <w:ind w:left="1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0A3914">
      <w:start w:val="1"/>
      <w:numFmt w:val="lowerRoman"/>
      <w:lvlText w:val="%3"/>
      <w:lvlJc w:val="left"/>
      <w:pPr>
        <w:ind w:left="21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6423A8">
      <w:start w:val="1"/>
      <w:numFmt w:val="decimal"/>
      <w:lvlText w:val="%4"/>
      <w:lvlJc w:val="left"/>
      <w:pPr>
        <w:ind w:left="2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D74425A">
      <w:start w:val="1"/>
      <w:numFmt w:val="lowerLetter"/>
      <w:lvlText w:val="%5"/>
      <w:lvlJc w:val="left"/>
      <w:pPr>
        <w:ind w:left="36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ECCC108">
      <w:start w:val="1"/>
      <w:numFmt w:val="lowerRoman"/>
      <w:lvlText w:val="%6"/>
      <w:lvlJc w:val="left"/>
      <w:pPr>
        <w:ind w:left="43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FD8E0DE">
      <w:start w:val="1"/>
      <w:numFmt w:val="decimal"/>
      <w:lvlText w:val="%7"/>
      <w:lvlJc w:val="left"/>
      <w:pPr>
        <w:ind w:left="5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072BD2E">
      <w:start w:val="1"/>
      <w:numFmt w:val="lowerLetter"/>
      <w:lvlText w:val="%8"/>
      <w:lvlJc w:val="left"/>
      <w:pPr>
        <w:ind w:left="57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02C21E">
      <w:start w:val="1"/>
      <w:numFmt w:val="lowerRoman"/>
      <w:lvlText w:val="%9"/>
      <w:lvlJc w:val="left"/>
      <w:pPr>
        <w:ind w:left="65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A94BB4"/>
    <w:multiLevelType w:val="hybridMultilevel"/>
    <w:tmpl w:val="FCAAC2F2"/>
    <w:lvl w:ilvl="0" w:tplc="68A64278">
      <w:start w:val="1"/>
      <w:numFmt w:val="decimal"/>
      <w:lvlText w:val="%1"/>
      <w:lvlJc w:val="left"/>
      <w:pPr>
        <w:ind w:left="11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6B45A64">
      <w:start w:val="1"/>
      <w:numFmt w:val="lowerLetter"/>
      <w:lvlText w:val="%2"/>
      <w:lvlJc w:val="left"/>
      <w:pPr>
        <w:ind w:left="1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246B90">
      <w:start w:val="1"/>
      <w:numFmt w:val="lowerRoman"/>
      <w:lvlText w:val="%3"/>
      <w:lvlJc w:val="left"/>
      <w:pPr>
        <w:ind w:left="2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0B8C826">
      <w:start w:val="1"/>
      <w:numFmt w:val="decimal"/>
      <w:lvlText w:val="%4"/>
      <w:lvlJc w:val="left"/>
      <w:pPr>
        <w:ind w:left="3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9ECD118">
      <w:start w:val="1"/>
      <w:numFmt w:val="lowerLetter"/>
      <w:lvlText w:val="%5"/>
      <w:lvlJc w:val="left"/>
      <w:pPr>
        <w:ind w:left="4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F2B3EE">
      <w:start w:val="1"/>
      <w:numFmt w:val="lowerRoman"/>
      <w:lvlText w:val="%6"/>
      <w:lvlJc w:val="left"/>
      <w:pPr>
        <w:ind w:left="4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88D002">
      <w:start w:val="1"/>
      <w:numFmt w:val="decimal"/>
      <w:lvlText w:val="%7"/>
      <w:lvlJc w:val="left"/>
      <w:pPr>
        <w:ind w:left="54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908BE0">
      <w:start w:val="1"/>
      <w:numFmt w:val="lowerLetter"/>
      <w:lvlText w:val="%8"/>
      <w:lvlJc w:val="left"/>
      <w:pPr>
        <w:ind w:left="62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E4D4EC">
      <w:start w:val="1"/>
      <w:numFmt w:val="lowerRoman"/>
      <w:lvlText w:val="%9"/>
      <w:lvlJc w:val="left"/>
      <w:pPr>
        <w:ind w:left="6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C6B49AF"/>
    <w:multiLevelType w:val="hybridMultilevel"/>
    <w:tmpl w:val="F3629FF4"/>
    <w:lvl w:ilvl="0" w:tplc="DC2E66BC">
      <w:start w:val="100"/>
      <w:numFmt w:val="lowerRoman"/>
      <w:pStyle w:val="Heading1"/>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0784C4C">
      <w:start w:val="1"/>
      <w:numFmt w:val="lowerLetter"/>
      <w:lvlText w:val="%2"/>
      <w:lvlJc w:val="left"/>
      <w:pPr>
        <w:ind w:left="22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D18714A">
      <w:start w:val="1"/>
      <w:numFmt w:val="lowerRoman"/>
      <w:lvlText w:val="%3"/>
      <w:lvlJc w:val="left"/>
      <w:pPr>
        <w:ind w:left="29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E8E818">
      <w:start w:val="1"/>
      <w:numFmt w:val="decimal"/>
      <w:lvlText w:val="%4"/>
      <w:lvlJc w:val="left"/>
      <w:pPr>
        <w:ind w:left="3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D46D8E">
      <w:start w:val="1"/>
      <w:numFmt w:val="lowerLetter"/>
      <w:lvlText w:val="%5"/>
      <w:lvlJc w:val="left"/>
      <w:pPr>
        <w:ind w:left="4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28A264">
      <w:start w:val="1"/>
      <w:numFmt w:val="lowerRoman"/>
      <w:lvlText w:val="%6"/>
      <w:lvlJc w:val="left"/>
      <w:pPr>
        <w:ind w:left="5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36A0F0">
      <w:start w:val="1"/>
      <w:numFmt w:val="decimal"/>
      <w:lvlText w:val="%7"/>
      <w:lvlJc w:val="left"/>
      <w:pPr>
        <w:ind w:left="5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A0C324">
      <w:start w:val="1"/>
      <w:numFmt w:val="lowerLetter"/>
      <w:lvlText w:val="%8"/>
      <w:lvlJc w:val="left"/>
      <w:pPr>
        <w:ind w:left="6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F8EEE0">
      <w:start w:val="1"/>
      <w:numFmt w:val="lowerRoman"/>
      <w:lvlText w:val="%9"/>
      <w:lvlJc w:val="left"/>
      <w:pPr>
        <w:ind w:left="7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5250016"/>
    <w:multiLevelType w:val="hybridMultilevel"/>
    <w:tmpl w:val="658658E2"/>
    <w:lvl w:ilvl="0" w:tplc="FFFFFFFF">
      <w:start w:val="1"/>
      <w:numFmt w:val="decimal"/>
      <w:lvlText w:val="%1."/>
      <w:lvlJc w:val="left"/>
      <w:pPr>
        <w:ind w:left="80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1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9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0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305811711">
    <w:abstractNumId w:val="0"/>
  </w:num>
  <w:num w:numId="2" w16cid:durableId="1759599577">
    <w:abstractNumId w:val="6"/>
  </w:num>
  <w:num w:numId="3" w16cid:durableId="907497428">
    <w:abstractNumId w:val="2"/>
  </w:num>
  <w:num w:numId="4" w16cid:durableId="1600260608">
    <w:abstractNumId w:val="3"/>
  </w:num>
  <w:num w:numId="5" w16cid:durableId="655762354">
    <w:abstractNumId w:val="7"/>
  </w:num>
  <w:num w:numId="6" w16cid:durableId="1551764670">
    <w:abstractNumId w:val="8"/>
  </w:num>
  <w:num w:numId="7" w16cid:durableId="89401746">
    <w:abstractNumId w:val="9"/>
  </w:num>
  <w:num w:numId="8" w16cid:durableId="91364449">
    <w:abstractNumId w:val="10"/>
  </w:num>
  <w:num w:numId="9" w16cid:durableId="402221167">
    <w:abstractNumId w:val="5"/>
  </w:num>
  <w:num w:numId="10" w16cid:durableId="1453866158">
    <w:abstractNumId w:val="4"/>
  </w:num>
  <w:num w:numId="11" w16cid:durableId="194276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52"/>
    <w:rsid w:val="00E1582A"/>
    <w:rsid w:val="00E84B52"/>
    <w:rsid w:val="00EC5E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90FF"/>
  <w15:docId w15:val="{995A8AF6-4257-4329-92A9-54678F72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26" w:lineRule="auto"/>
      <w:ind w:left="48" w:hanging="5"/>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numPr>
        <w:numId w:val="7"/>
      </w:numPr>
      <w:spacing w:after="2" w:line="257" w:lineRule="auto"/>
      <w:ind w:left="48" w:right="1824" w:hanging="10"/>
      <w:outlineLvl w:val="0"/>
    </w:pPr>
    <w:rPr>
      <w:rFonts w:ascii="Calibri" w:eastAsia="Calibri" w:hAnsi="Calibri" w:cs="Calibri"/>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paragraph" w:styleId="ListParagraph">
    <w:name w:val="List Paragraph"/>
    <w:basedOn w:val="Normal"/>
    <w:uiPriority w:val="34"/>
    <w:qFormat/>
    <w:rsid w:val="00E1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76A66C434524C8EDCDB34C9F058A8" ma:contentTypeVersion="15" ma:contentTypeDescription="Create a new document." ma:contentTypeScope="" ma:versionID="52a3d1b6ebd8d57720714313736a43be">
  <xsd:schema xmlns:xsd="http://www.w3.org/2001/XMLSchema" xmlns:xs="http://www.w3.org/2001/XMLSchema" xmlns:p="http://schemas.microsoft.com/office/2006/metadata/properties" xmlns:ns2="6309ae34-1a1e-4ee8-a3a8-f0f048b792ad" xmlns:ns3="5b1c02c8-c1e3-439a-aa0b-1426b8eaed50" targetNamespace="http://schemas.microsoft.com/office/2006/metadata/properties" ma:root="true" ma:fieldsID="c47b5bbcef1f3280f27b240a888fb8c3" ns2:_="" ns3:_="">
    <xsd:import namespace="6309ae34-1a1e-4ee8-a3a8-f0f048b792ad"/>
    <xsd:import namespace="5b1c02c8-c1e3-439a-aa0b-1426b8eaed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ae34-1a1e-4ee8-a3a8-f0f048b7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c02c8-c1e3-439a-aa0b-1426b8eaed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1e39be-f379-40ea-a937-979812820758}" ma:internalName="TaxCatchAll" ma:showField="CatchAllData" ma:web="5b1c02c8-c1e3-439a-aa0b-1426b8eaed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1c02c8-c1e3-439a-aa0b-1426b8eaed50" xsi:nil="true"/>
    <lcf76f155ced4ddcb4097134ff3c332f xmlns="6309ae34-1a1e-4ee8-a3a8-f0f048b792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ECFD18-044C-4770-8688-B07076F6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ae34-1a1e-4ee8-a3a8-f0f048b792ad"/>
    <ds:schemaRef ds:uri="5b1c02c8-c1e3-439a-aa0b-1426b8ea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3D941-6335-4355-A238-1C1CAF33C788}">
  <ds:schemaRefs>
    <ds:schemaRef ds:uri="http://schemas.microsoft.com/sharepoint/v3/contenttype/forms"/>
  </ds:schemaRefs>
</ds:datastoreItem>
</file>

<file path=customXml/itemProps3.xml><?xml version="1.0" encoding="utf-8"?>
<ds:datastoreItem xmlns:ds="http://schemas.openxmlformats.org/officeDocument/2006/customXml" ds:itemID="{31C954C9-BBFD-410C-B03A-865C8EC62486}">
  <ds:schemaRef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5b1c02c8-c1e3-439a-aa0b-1426b8eaed50"/>
    <ds:schemaRef ds:uri="http://schemas.openxmlformats.org/package/2006/metadata/core-properties"/>
    <ds:schemaRef ds:uri="6309ae34-1a1e-4ee8-a3a8-f0f048b792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Ace P. Villanueva</dc:creator>
  <cp:keywords/>
  <cp:lastModifiedBy>Lucky Ace P. Villanueva</cp:lastModifiedBy>
  <cp:revision>2</cp:revision>
  <dcterms:created xsi:type="dcterms:W3CDTF">2024-04-11T07:32:00Z</dcterms:created>
  <dcterms:modified xsi:type="dcterms:W3CDTF">2024-04-11T07:32:00Z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0x0101008C876A66C434524C8EDCDB34C9F058A8</vt:lpwstr>
  </property>
  <property fmtid="{D5CDD505-2E9C-101B-9397-08002B2CF9AE}" pid="3" name="MediaServiceImageTags">
    <vt:lpwstr/>
  </property>
</Properties>
</file>